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61EE" w:rsidP="52EB2982" w:rsidRDefault="002B61EE" w14:paraId="672A6659" w14:textId="77777777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2B61EE" w:rsidP="52EB2982" w:rsidRDefault="002B15B0" w14:paraId="077C007F" w14:textId="77777777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</w:pPr>
      <w:r w:rsidRPr="52EB2982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  <w:t>PORTFÓLIO DE AÇÕES E ATIVIDADES – LINHA DO TEMPO</w:t>
      </w:r>
    </w:p>
    <w:p w:rsidRPr="00EA0DD4" w:rsidR="00EA0DD4" w:rsidP="52EB2982" w:rsidRDefault="002B15B0" w14:paraId="376C1D74" w14:textId="75991855">
      <w:pPr>
        <w:spacing w:after="0" w:line="360" w:lineRule="auto"/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</w:rPr>
        <w:t>202</w:t>
      </w:r>
      <w:r w:rsidRPr="52EB2982" w:rsidR="00401E67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</w:rPr>
        <w:t>5</w:t>
      </w:r>
    </w:p>
    <w:p w:rsidRPr="00EA0DD4" w:rsidR="00EA0DD4" w:rsidP="00EA0DD4" w:rsidRDefault="00EA0DD4" w14:paraId="49B2C162" w14:textId="5303A676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Entrevista concedida ao jornal Boa Tarde DF, na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Band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 DF, com veiculação em 17/01, sobre recursos contra infrações no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Detran-DF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;</w:t>
      </w:r>
    </w:p>
    <w:p w:rsidRPr="00EA0DD4" w:rsidR="00EA0DD4" w:rsidP="00EA0DD4" w:rsidRDefault="00EA0DD4" w14:paraId="69B1A910" w14:textId="32D10BC9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Entrevista concedida ao jornal Correio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Braziliense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com veiculação em 19/01, sobre os riscos e desafios da bicicleta no DF;</w:t>
      </w:r>
    </w:p>
    <w:p w:rsidRPr="00EA0DD4" w:rsidR="00EA0DD4" w:rsidP="00EA0DD4" w:rsidRDefault="00EA0DD4" w14:paraId="5FAFAA32" w14:textId="1C39C894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reunião do grupo de desenvolvimento sustentável –ESG da UITP, em 22/01;</w:t>
      </w:r>
    </w:p>
    <w:p w:rsidR="6314E5F3" w:rsidP="00EA0DD4" w:rsidRDefault="00EA0DD4" w14:paraId="44C17242" w14:textId="6AF219F0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5ª Conferência do Meio Ambiente das Regiões Administrativas do DF – Emergência climática: o desafio da transformação ecológica, em 24/01;</w:t>
      </w:r>
    </w:p>
    <w:p w:rsidR="79C57DCD" w:rsidP="17D14B81" w:rsidRDefault="79C57DCD" w14:paraId="3054B19E" w14:textId="495932C6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Entrevista ao Portal R7, com veiculação em 28/01, sobre mortes de pedestres no DF;</w:t>
      </w:r>
    </w:p>
    <w:p w:rsidR="79C57DCD" w:rsidP="17D14B81" w:rsidRDefault="79C57DCD" w14:paraId="1299C13D" w14:textId="00EED273">
      <w:pPr>
        <w:pStyle w:val="PargrafodaLista"/>
        <w:numPr>
          <w:ilvl w:val="0"/>
          <w:numId w:val="7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seminário “Transporte de passageiros por moto”, em 04/02, em evento da Folha de São Paulo;</w:t>
      </w:r>
    </w:p>
    <w:p w:rsidR="79C57DCD" w:rsidP="17D14B81" w:rsidRDefault="79C57DCD" w14:paraId="197E36A4" w14:textId="4AF95DEC">
      <w:pPr>
        <w:pStyle w:val="PargrafodaLista"/>
        <w:numPr>
          <w:ilvl w:val="0"/>
          <w:numId w:val="6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Produção do artigo técnico “O novo PDTU-DF corre o risco de repetir os erros do passado”, em 10/02;</w:t>
      </w:r>
    </w:p>
    <w:p w:rsidR="79C57DCD" w:rsidP="17D14B81" w:rsidRDefault="79C57DCD" w14:paraId="4D7968E4" w14:textId="69015BA1">
      <w:pPr>
        <w:pStyle w:val="PargrafodaLista"/>
        <w:numPr>
          <w:ilvl w:val="0"/>
          <w:numId w:val="5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“Encontro de novos prefeitos e prefeitas”, no período de 11 a 13/02, em Brasília/DF, em evento do Governo Federal;</w:t>
      </w:r>
    </w:p>
    <w:p w:rsidR="79C57DCD" w:rsidP="17D14B81" w:rsidRDefault="79C57DCD" w14:paraId="5185D072" w14:textId="33BC8E60">
      <w:pPr>
        <w:pStyle w:val="PargrafodaLista"/>
        <w:numPr>
          <w:ilvl w:val="0"/>
          <w:numId w:val="4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como entrevistado no Programa de Rádio CBN Brasília, em edição do dia 12/02, com o tema “Atualização do Plano Diretor de Transporte Urbano do Distrito Federal (PDTU-DF)”;</w:t>
      </w:r>
    </w:p>
    <w:p w:rsidR="79C57DCD" w:rsidP="17D14B81" w:rsidRDefault="79C57DCD" w14:paraId="410B4B40" w14:textId="066A119A">
      <w:pPr>
        <w:pStyle w:val="PargrafodaLista"/>
        <w:numPr>
          <w:ilvl w:val="0"/>
          <w:numId w:val="3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Produção do artigo técnico “Tarifa Zero no transporte público do Distrito Federal”, em 13/02;</w:t>
      </w:r>
    </w:p>
    <w:p w:rsidR="79C57DCD" w:rsidP="17D14B81" w:rsidRDefault="79C57DCD" w14:paraId="2CFCD25A" w14:textId="0EB367C3">
      <w:pPr>
        <w:pStyle w:val="PargrafodaLista"/>
        <w:numPr>
          <w:ilvl w:val="0"/>
          <w:numId w:val="2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como debatedor na mesa “Inovação em rede: consórcios como propulsores do desenvolvimento territorial”, no “Encontro de novos prefeitos e prefeitas”, em Brasília, em 13/02;</w:t>
      </w:r>
    </w:p>
    <w:p w:rsidR="79C57DCD" w:rsidP="17D14B81" w:rsidRDefault="79C57DCD" w14:paraId="2036B685" w14:textId="081D6BF9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Publicação do artigo técnico “Tarifa Zero no transporte público do Distrito Federal” no Correio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Braziliense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na seção Cidades DF, na edição de 14/02;</w:t>
      </w:r>
    </w:p>
    <w:p w:rsidR="146C644E" w:rsidP="62834628" w:rsidRDefault="146C644E" w14:paraId="43CE8FC0" w14:textId="755B3489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webinar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 “Inventários de emissões de poluentes atmosféricos”, em 28/02, em evento do Ministério do Meio Ambiente e Mudança do Clima;</w:t>
      </w:r>
    </w:p>
    <w:p w:rsidR="146C644E" w:rsidP="62834628" w:rsidRDefault="146C644E" w14:paraId="0980FA3E" w14:textId="59C913B1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Entrevista para o Diário do Transporte, com veiculação em 07/03, com o tema Tarifa Zero;</w:t>
      </w:r>
    </w:p>
    <w:p w:rsidR="146C644E" w:rsidP="62834628" w:rsidRDefault="146C644E" w14:paraId="5B3D0D2E" w14:textId="59982052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Estrutural, em 10/03;</w:t>
      </w:r>
    </w:p>
    <w:p w:rsidR="146C644E" w:rsidP="62834628" w:rsidRDefault="146C644E" w14:paraId="519EAE79" w14:textId="4D774D1D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Plano Piloto, em 10/03;</w:t>
      </w:r>
    </w:p>
    <w:p w:rsidR="146C644E" w:rsidP="62834628" w:rsidRDefault="146C644E" w14:paraId="3243E5EF" w14:textId="2D3BFFD1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Gama, em 11/03;</w:t>
      </w:r>
    </w:p>
    <w:p w:rsidR="146C644E" w:rsidP="62834628" w:rsidRDefault="146C644E" w14:paraId="21D808FB" w14:textId="6329AC93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Riacho Fundo 1, em 12/03;</w:t>
      </w:r>
    </w:p>
    <w:p w:rsidR="146C644E" w:rsidP="62834628" w:rsidRDefault="146C644E" w14:paraId="5184D6D7" w14:textId="7ED855BC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Participação na oficina regional de diagnóstico do PDTU/DF e do Plano de Mobilidade Urbana Sustentável, na região administrativa Paranoá , em 13/03;</w:t>
      </w:r>
    </w:p>
    <w:p w:rsidR="146C644E" w:rsidP="62834628" w:rsidRDefault="146C644E" w14:paraId="1F838E55" w14:textId="52CE1C25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reunião preparatória para a COP 30, em 18/03;</w:t>
      </w:r>
    </w:p>
    <w:p w:rsidR="146C644E" w:rsidP="62834628" w:rsidRDefault="146C644E" w14:paraId="25AD63FE" w14:textId="61F14FAA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56ª reunião do Conselho das Cidades, no período de 19 a 21/03, em Brasília/DF;</w:t>
      </w:r>
    </w:p>
    <w:p w:rsidR="146C644E" w:rsidP="62834628" w:rsidRDefault="146C644E" w14:paraId="3757F8E2" w14:textId="2A48905E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como debatedor no Seminário Técnico “Sistema Único de Mobilidade Sustentável (SUM)”, em evento da programação do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ConCidades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em Brasília, em 19/03;</w:t>
      </w:r>
    </w:p>
    <w:p w:rsidR="146C644E" w:rsidP="62834628" w:rsidRDefault="146C644E" w14:paraId="5449FC1B" w14:textId="6C021648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lastRenderedPageBreak/>
        <w:t xml:space="preserve">Participação no XXV encontro nacional de líderes do transporte alternativo e complementar, em Brasília/DF, no período de 20 e 21/03, em evento da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Fenatral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;</w:t>
      </w:r>
    </w:p>
    <w:p w:rsidR="146C644E" w:rsidP="62834628" w:rsidRDefault="146C644E" w14:paraId="6D81748A" w14:textId="3B125354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na audiência pública determinada pela Vara de Meio Ambiente, Desenvolvimento Urbano e Fundiário do TJDFT, com o tema “segurança, mobilidade e acessibilidade para travessia do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Eixão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 e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Eixinhos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”, em Brasília, em 20/03;</w:t>
      </w:r>
    </w:p>
    <w:p w:rsidR="146C644E" w:rsidP="62834628" w:rsidRDefault="146C644E" w14:paraId="569FF273" w14:textId="57506EA4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na oficina regional de diagnóstico do PDTU/DF e do Plano de Mobilidade Urbana Sustentável, na região administrativa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Fercal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em 24/03;</w:t>
      </w:r>
    </w:p>
    <w:p w:rsidR="146C644E" w:rsidP="62834628" w:rsidRDefault="146C644E" w14:paraId="338F4C43" w14:textId="54BDA02F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Varjão, em 25/03;</w:t>
      </w:r>
    </w:p>
    <w:p w:rsidR="146C644E" w:rsidP="62834628" w:rsidRDefault="146C644E" w14:paraId="4120A275" w14:textId="548976AB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Entrevista concedida ao Podcast do Transporte, em 26/03, episódio 88, com o tema “Prioridade para a mobilidade urbana ainda depende de legislação sobre o Marco Regulatório e o Sistema Único de Mobilidade Urbana (SUM)”;</w:t>
      </w:r>
    </w:p>
    <w:p w:rsidR="146C644E" w:rsidP="62834628" w:rsidRDefault="146C644E" w14:paraId="47FD802C" w14:textId="59B09A76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Entrevista concedida ao Diário do Transporte, com veiculação em 26/03, com o tema SUM;</w:t>
      </w:r>
    </w:p>
    <w:p w:rsidR="146C644E" w:rsidP="62834628" w:rsidRDefault="146C644E" w14:paraId="093ECBAD" w14:textId="412914CD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Recanto das Emas, em 26/03;</w:t>
      </w:r>
    </w:p>
    <w:p w:rsidR="146C644E" w:rsidP="62834628" w:rsidRDefault="146C644E" w14:paraId="2880A2C7" w14:textId="647D673F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120ª Reunião do Fórum Nacional de Secretários e Dirigentes de Mobilidade Urbana, no período de 26 a 27/03;</w:t>
      </w:r>
    </w:p>
    <w:p w:rsidR="146C644E" w:rsidP="62834628" w:rsidRDefault="146C644E" w14:paraId="5A5DBE40" w14:textId="048A8A8E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Sudoeste/Octogonal, em 27/03;</w:t>
      </w:r>
    </w:p>
    <w:p w:rsidR="146C644E" w:rsidP="62834628" w:rsidRDefault="146C644E" w14:paraId="31DC5694" w14:textId="334CF082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webinar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 “Inventários de emissões de poluentes atmosféricos”, em 28/03, em evento do Ministério do Meio Ambiente e Mudança do Clima;</w:t>
      </w:r>
    </w:p>
    <w:p w:rsidR="146C644E" w:rsidP="62834628" w:rsidRDefault="146C644E" w14:paraId="24DD2899" w14:textId="0FF56894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87ª Reunião Geral da Frente Nacional de Prefeitas e Prefeitos, nos dias 07 e 08/04, em Brasília;</w:t>
      </w:r>
    </w:p>
    <w:p w:rsidR="146C644E" w:rsidP="62834628" w:rsidRDefault="146C644E" w14:paraId="18891903" w14:textId="0348B3DB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Sol Nascente, em 07/04;</w:t>
      </w:r>
    </w:p>
    <w:p w:rsidR="146C644E" w:rsidP="62834628" w:rsidRDefault="146C644E" w14:paraId="52006102" w14:textId="07267C2B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na oficina regional de diagnóstico do PDTU/DF e do Plano de Mobilidade Urbana Sustentável, na região administrativa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Candangolândia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em 08/04;</w:t>
      </w:r>
    </w:p>
    <w:p w:rsidR="146C644E" w:rsidP="62834628" w:rsidRDefault="146C644E" w14:paraId="17F253F0" w14:textId="7B6F58C7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Park Way, em 09/04;</w:t>
      </w:r>
    </w:p>
    <w:p w:rsidR="146C644E" w:rsidP="62834628" w:rsidRDefault="146C644E" w14:paraId="3B4F6E67" w14:textId="60526692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oficina regional de diagnóstico do PDTU/DF e do Plano de Mobilidade Urbana Sustentável, na região administrativa Santa Maria, em 10/04;</w:t>
      </w:r>
    </w:p>
    <w:p w:rsidR="146C644E" w:rsidP="62834628" w:rsidRDefault="146C644E" w14:paraId="7DBB68D9" w14:textId="0446027C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92a Reunião do Fórum Paulista de Secretários e Dirigentes Públicos de Mobilidade Urbana, em Hortolândia/SP, nos dias 10 e 11/04;</w:t>
      </w:r>
    </w:p>
    <w:p w:rsidR="146C644E" w:rsidP="62834628" w:rsidRDefault="146C644E" w14:paraId="570AB025" w14:textId="76A5606B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Produção do documento técnico “Análise comparativa entre Sistemas de Transporte Público Coletivo Rodoviário de cidades brasileiras”, em 16/04”;</w:t>
      </w:r>
    </w:p>
    <w:p w:rsidR="6E401969" w:rsidP="7A92630A" w:rsidRDefault="6E401969" w14:paraId="30E6BF56" w14:textId="35001233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audiência pública “A realidade dos entregadores de aplicativos no Brasil, na Comissão de Desenvolvimento Urbano da Câmara Federal, em 23/04;</w:t>
      </w:r>
    </w:p>
    <w:p w:rsidR="6E401969" w:rsidP="7A92630A" w:rsidRDefault="6E401969" w14:paraId="51715570" w14:textId="0A7D2F1E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Seminário Tarifa Zero no DF, em 25/04, em evento da Comissão de Transporte e Mobilidade Urbana da  Câmara Legislativa do DF;</w:t>
      </w:r>
    </w:p>
    <w:p w:rsidR="6E401969" w:rsidP="7A92630A" w:rsidRDefault="6E401969" w14:paraId="282E6870" w14:textId="22E6C634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evento de lançamento da Rede Nacional de Cidades do Observatório Nacional de Mobilidade Sustentável, em 28/04;</w:t>
      </w:r>
    </w:p>
    <w:p w:rsidR="6E401969" w:rsidP="7A92630A" w:rsidRDefault="6E401969" w14:paraId="51249A7B" w14:textId="5FC4A283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lastRenderedPageBreak/>
        <w:t xml:space="preserve">Entrevista concedida ao jornal Correio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Braziliense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com veiculação em 28/04, sobre o Estudo Técnico “Análise Comparativa entre os Sistemas de Transporte Público Coletivo Rodoviário de Cidades Brasileiras”;</w:t>
      </w:r>
    </w:p>
    <w:p w:rsidR="6E401969" w:rsidP="7A92630A" w:rsidRDefault="6E401969" w14:paraId="6A443643" w14:textId="7ED7B39D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como entrevistado no Programa de Rádio CBN Brasília, em edição do dia 01/05, com o tema “Análise Comparativa entre os Sistemas de Transporte Público Coletivo Rodoviário de Cidades Brasileiras”;</w:t>
      </w:r>
    </w:p>
    <w:p w:rsidR="6E401969" w:rsidP="7A92630A" w:rsidRDefault="6E401969" w14:paraId="46FA264F" w14:textId="383F8CB5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como palestrante na Audiência Pública para debater o Projeto de Lei nº 1.208/2023 – política estadual de subsídios para o transporte público de passageiros e mobilidade urbana e rural, em 06/05, na Comissão Extraordinária de Defesa da Habitação e da Reforma Urbana da Assembleia Legislativa de Minas Gerais;</w:t>
      </w:r>
    </w:p>
    <w:p w:rsidR="6E401969" w:rsidP="7A92630A" w:rsidRDefault="6E401969" w14:paraId="4773F042" w14:textId="19D2C0B9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Audiência Pública  com o tema “gratuidade no transporte público”, em 06/05, na Comissão de Desenvolvimento Urbano da Câmara Federal;</w:t>
      </w:r>
    </w:p>
    <w:p w:rsidR="6E401969" w:rsidP="7A92630A" w:rsidRDefault="6E401969" w14:paraId="6CA90251" w14:textId="3F38EDF0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no seminário “Smart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ticketing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 – a chave da governança”, nos dias 12 e 13/05, em evento do Instituto de Engenharia;</w:t>
      </w:r>
    </w:p>
    <w:p w:rsidR="6E401969" w:rsidP="7A92630A" w:rsidRDefault="6E401969" w14:paraId="406F80C6" w14:textId="6073DEFF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“Desafio Visão Zero BID 2025: proteção aos mais vulneráveis nas cidades brasileiras”, em 15/05, em evento do Banco Interamericano de Desenvolvimento;</w:t>
      </w:r>
    </w:p>
    <w:p w:rsidR="6E401969" w:rsidP="7A92630A" w:rsidRDefault="6E401969" w14:paraId="15743198" w14:textId="386B1206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seminário “Protocolo pela vida: construindo caminhos para a justiça no trânsito”, em Brasília/DF, nos dias 19 e 20, em evento do MPDFT e Rede Urbanidade;</w:t>
      </w:r>
    </w:p>
    <w:p w:rsidR="6E401969" w:rsidP="7A92630A" w:rsidRDefault="6E401969" w14:paraId="49B00117" w14:textId="78C98876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“Maio Amarelo UnB: mobilidade ativa segura é mobilidade que perdura”, em Brasília/DF, em 21/05, em evento do CEFTRU/UnB e GPSV;</w:t>
      </w:r>
      <w:r w:rsidRPr="52EB2982" w:rsidR="734CE08C">
        <w:rPr>
          <w:rFonts w:ascii="Times New Roman" w:hAnsi="Times New Roman" w:eastAsia="Times New Roman" w:cs="Times New Roman"/>
          <w:sz w:val="24"/>
          <w:szCs w:val="24"/>
        </w:rPr>
        <w:t></w:t>
      </w:r>
      <w:r>
        <w:tab/>
      </w:r>
      <w:r w:rsidRPr="52EB2982" w:rsidR="734CE08C">
        <w:rPr>
          <w:rFonts w:ascii="Times New Roman" w:hAnsi="Times New Roman" w:eastAsia="Times New Roman" w:cs="Times New Roman"/>
          <w:sz w:val="24"/>
          <w:szCs w:val="24"/>
        </w:rPr>
        <w:t>Participação na 6ª Reunião do Fórum Baiano de Secretários e Dirigentes de Mobilidade Urbana, no período de 22 a 23/05;</w:t>
      </w:r>
    </w:p>
    <w:p w:rsidR="723AC161" w:rsidP="52EB2982" w:rsidRDefault="723AC161" w14:paraId="46470A61" w14:textId="0CFAEDD4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no evento “O Brasil é Coletivo”, em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Brasíla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/DF, no dia 27/05, em evento da NTU;</w:t>
      </w:r>
    </w:p>
    <w:p w:rsidR="329E8767" w:rsidP="52EB2982" w:rsidRDefault="329E8767" w14:paraId="3210D601" w14:textId="433F2D98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57ª reunião ordinária do Conselho das Cidades, no período de 28 a 30/05, em Brasília/DF;</w:t>
      </w:r>
    </w:p>
    <w:p w:rsidR="329E8767" w:rsidP="52EB2982" w:rsidRDefault="329E8767" w14:paraId="46AA3859" w14:textId="1E195490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evento “Transição justa na descarbonização da indústria automotiva”, em Brasília, em 10/06; em promoção do PNUMA;</w:t>
      </w:r>
    </w:p>
    <w:p w:rsidR="329E8767" w:rsidP="52EB2982" w:rsidRDefault="329E8767" w14:paraId="7440DA68" w14:textId="0E891AB7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no “Encontro de Mobilidade Urbana”, em Valparaíso de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Goiàs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em 10/06, em evento do Governo de Goiás;</w:t>
      </w:r>
    </w:p>
    <w:p w:rsidR="329E8767" w:rsidP="52EB2982" w:rsidRDefault="329E8767" w14:paraId="608A3576" w14:textId="457BC05B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121ª Reunião do Fórum Nacional de Secretários e Dirigentes de Mobilidade Urbana, no período de 11 a 12/06;</w:t>
      </w:r>
    </w:p>
    <w:p w:rsidR="329E8767" w:rsidP="52EB2982" w:rsidRDefault="329E8767" w14:paraId="3FB76E4F" w14:textId="6DCEB3FA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como conferencista no “Debate público: habitação, reforma urbana e participação social”, na mesa “Cidades inteligentes, acessibilidade e mobilidade urbana”, em 16/06, na Assembleia Legislativa de Minas Gerais;</w:t>
      </w:r>
    </w:p>
    <w:p w:rsidR="329E8767" w:rsidP="52EB2982" w:rsidRDefault="329E8767" w14:paraId="07A6562D" w14:textId="09D3E6CA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no debate “Boas práticas ferroviárias no mundo”, em 18/06, no Setorial Nacional de Transportes do PT;</w:t>
      </w:r>
    </w:p>
    <w:p w:rsidR="329E8767" w:rsidP="52EB2982" w:rsidRDefault="329E8767" w14:paraId="0AAE4840" w14:textId="195B112A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Participação na live “Proposta do Marco Legal do Transporte Público Coletivo: contexto geral e oportunidades”, em 19/06, em evento da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FRENLOGI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;</w:t>
      </w:r>
    </w:p>
    <w:p w:rsidR="329E8767" w:rsidP="52EB2982" w:rsidRDefault="329E8767" w14:paraId="3AB3A0AB" w14:textId="3447F496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como palestrante na mesa de conversa da disciplina de Planejamento Urbano da Faculdade de Arquitetura e Urbanismo da UnB, em 24/06, com o tema “Que cidade temos? Que cidade queremos?”;</w:t>
      </w:r>
    </w:p>
    <w:p w:rsidR="329E8767" w:rsidP="52EB2982" w:rsidRDefault="329E8767" w14:paraId="41C6002C" w14:textId="277E92BA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“Sexta da mobilidade: combustíveis alternativos e descarbonização”, em 27/06, em evento do INSPER;</w:t>
      </w:r>
    </w:p>
    <w:p w:rsidR="329E8767" w:rsidP="52EB2982" w:rsidRDefault="329E8767" w14:paraId="039C856E" w14:textId="183E7CCE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Audiência Pública do Plano Diretor de Transporte Urbano do Distrito Federal (PDTU), em Brasília, em 05/07;</w:t>
      </w:r>
    </w:p>
    <w:p w:rsidR="329E8767" w:rsidP="52EB2982" w:rsidRDefault="329E8767" w14:paraId="69528F3C" w14:textId="6993FB74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Entrevista concedida ao jornal Correio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Braziliense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com veiculação em 05/07, sobre a cobrança de estacionamento na área central do DF;</w:t>
      </w:r>
    </w:p>
    <w:p w:rsidR="329E8767" w:rsidP="52EB2982" w:rsidRDefault="329E8767" w14:paraId="0F371D11" w14:textId="0C12198A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 xml:space="preserve">Entrevista concedida ao jornal Correio </w:t>
      </w:r>
      <w:proofErr w:type="spellStart"/>
      <w:r w:rsidRPr="52EB2982">
        <w:rPr>
          <w:rFonts w:ascii="Times New Roman" w:hAnsi="Times New Roman" w:eastAsia="Times New Roman" w:cs="Times New Roman"/>
          <w:sz w:val="24"/>
          <w:szCs w:val="24"/>
        </w:rPr>
        <w:t>Braziliense</w:t>
      </w:r>
      <w:proofErr w:type="spellEnd"/>
      <w:r w:rsidRPr="52EB2982">
        <w:rPr>
          <w:rFonts w:ascii="Times New Roman" w:hAnsi="Times New Roman" w:eastAsia="Times New Roman" w:cs="Times New Roman"/>
          <w:sz w:val="24"/>
          <w:szCs w:val="24"/>
        </w:rPr>
        <w:t>, com veiculação em 08/07, sobre o início da cobrança de estacionamento na área central do DF;</w:t>
      </w:r>
    </w:p>
    <w:p w:rsidR="329E8767" w:rsidP="52EB2982" w:rsidRDefault="329E8767" w14:paraId="729E8EA0" w14:textId="0300D87C">
      <w:pPr>
        <w:pStyle w:val="PargrafodaLista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Participação na 58ª reunião ordinária do Conselho das Cidades, no período de 09 a 11/07, em Brasília/DF;</w:t>
      </w:r>
    </w:p>
    <w:p w:rsidR="002E0EDE" w:rsidP="002E0EDE" w:rsidRDefault="329E8767" w14:paraId="0F7D6712" w14:textId="2C221F04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52EB2982">
        <w:rPr>
          <w:rFonts w:ascii="Times New Roman" w:hAnsi="Times New Roman" w:eastAsia="Times New Roman" w:cs="Times New Roman"/>
          <w:sz w:val="24"/>
          <w:szCs w:val="24"/>
        </w:rPr>
        <w:t>Entrevista  concedida ao Portal R7, com veiculação em 16/07, sobre a regulamentação dos patinetes elétricos no DF;</w:t>
      </w:r>
    </w:p>
    <w:p w:rsidRPr="006E14DF" w:rsidR="006E14DF" w:rsidP="006E14DF" w:rsidRDefault="006E14DF" w14:paraId="539C9E95" w14:textId="6E39E80D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no evento “Mobilidade sobre duas rodas”, no período de 23 e 24/07, em atividade do Instituto de Engenharia;</w:t>
      </w:r>
    </w:p>
    <w:p w:rsidRPr="006E14DF" w:rsidR="006E14DF" w:rsidP="006E14DF" w:rsidRDefault="006E14DF" w14:paraId="3A7C9611" w14:textId="4FEA621E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no evento “Impacto da mobilidade sobre as bicicletas”, em 23/07, em evento do Setorial Nacional de Logística, Transporte e Mobilidade Urbana do PT;</w:t>
      </w:r>
    </w:p>
    <w:p w:rsidRPr="006E14DF" w:rsidR="006E14DF" w:rsidP="006E14DF" w:rsidRDefault="006E14DF" w14:paraId="5895DF25" w14:textId="2695299B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no evento de lançamento do projeto piloto do “Banco Nacional de Dados de Transporte Público Coletivo”, em 28/07, em Goiânia, em promoção da Frente Nacional de Prefeitas e Prefeitos;</w:t>
      </w:r>
    </w:p>
    <w:p w:rsidRPr="006E14DF" w:rsidR="006E14DF" w:rsidP="006E14DF" w:rsidRDefault="006E14DF" w14:paraId="089E6789" w14:textId="1A933042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na 4ª Reunião Técnica da Comissão de Transporte e Mobilidade Urbana da CLDF, em 06/08, para discussão do Programa Vai de Graça;</w:t>
      </w:r>
    </w:p>
    <w:p w:rsidRPr="006E14DF" w:rsidR="006E14DF" w:rsidP="006E14DF" w:rsidRDefault="006E14DF" w14:paraId="3FF6A51F" w14:textId="1F9FEB2F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no Seminário Nacional NTU 2025, em Brasília/DF, no período de 12 e 13/08;</w:t>
      </w:r>
    </w:p>
    <w:p w:rsidRPr="006E14DF" w:rsidR="006E14DF" w:rsidP="006E14DF" w:rsidRDefault="006E14DF" w14:paraId="7429727F" w14:textId="50DE4F8F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na 32ª Reunião do Fórum Nacional de Secretárias, Secretários e Dirigentes de Mobilidade Urbana (</w:t>
      </w:r>
      <w:proofErr w:type="spellStart"/>
      <w:r w:rsidRPr="006E14DF">
        <w:rPr>
          <w:rFonts w:ascii="Times New Roman" w:hAnsi="Times New Roman" w:eastAsia="Times New Roman" w:cs="Times New Roman"/>
          <w:sz w:val="24"/>
          <w:szCs w:val="24"/>
        </w:rPr>
        <w:t>CONSETRAN</w:t>
      </w:r>
      <w:proofErr w:type="spellEnd"/>
      <w:r w:rsidRPr="006E14DF">
        <w:rPr>
          <w:rFonts w:ascii="Times New Roman" w:hAnsi="Times New Roman" w:eastAsia="Times New Roman" w:cs="Times New Roman"/>
          <w:sz w:val="24"/>
          <w:szCs w:val="24"/>
        </w:rPr>
        <w:t>), em Brasília/DF, em 13/08;</w:t>
      </w:r>
    </w:p>
    <w:p w:rsidRPr="006E14DF" w:rsidR="006E14DF" w:rsidP="006E14DF" w:rsidRDefault="006E14DF" w14:paraId="751A62FA" w14:textId="3BF7A4FE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na audiência pública da Comissão de Desenvolvimento Urbano da Câmara Federal, em 14/08, em Brasília/DF, com o tema “Marco legal do transporte público coletivo urbano;</w:t>
      </w:r>
    </w:p>
    <w:p w:rsidRPr="006E14DF" w:rsidR="006E14DF" w:rsidP="006E14DF" w:rsidRDefault="006E14DF" w14:paraId="1053FFCB" w14:textId="24167814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na oficina regional de proposta do PDTU/DF e do Plano de Mobilidade Urbana Sustentável, na região administrativa São Sebastião, em 18/08;</w:t>
      </w:r>
    </w:p>
    <w:p w:rsidRPr="006E14DF" w:rsidR="006E14DF" w:rsidP="006E14DF" w:rsidRDefault="006E14DF" w14:paraId="0188C2AD" w14:textId="4DD27A7C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 xml:space="preserve"> Participação na oficina regional de proposta do PDTU/DF e do Plano de Mobilidade Urbana Sustentável, na região administrativa Samambaia, em 19/08;</w:t>
      </w:r>
    </w:p>
    <w:p w:rsidR="002E0EDE" w:rsidP="006E14DF" w:rsidRDefault="006E14DF" w14:paraId="6669B089" w14:textId="0A5A7B66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6E14DF">
        <w:rPr>
          <w:rFonts w:ascii="Times New Roman" w:hAnsi="Times New Roman" w:eastAsia="Times New Roman" w:cs="Times New Roman"/>
          <w:sz w:val="24"/>
          <w:szCs w:val="24"/>
        </w:rPr>
        <w:t>Participação na oficina regional de proposta do PDTU/DF e do Plano de Mobilidade Urbana Sustentável, na região administrativa Água Quente, em 20/08;</w:t>
      </w:r>
    </w:p>
    <w:p w:rsidRPr="00512944" w:rsidR="00512944" w:rsidP="00512944" w:rsidRDefault="00512944" w14:paraId="62C29FF2" w14:textId="07B69B86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Participação no “II Seminário sobre Mobilidade Urbana: sistema sobre trilhos, eletrificação e descarbonização – pensando a mobilidade do futuro”, em Brasília/DF, nos dias 21 e 22/08, em evento da CTMU e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FINATEC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>;</w:t>
      </w:r>
    </w:p>
    <w:p w:rsidRPr="00512944" w:rsidR="00512944" w:rsidP="00512944" w:rsidRDefault="00512944" w14:paraId="5F7EF189" w14:textId="57CAB53D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na oficina regional de proposta do PDTU/DF e do Plano de Mobilidade Urbana Sustentável, na região administrativa Plano Piloto, em 21/08;</w:t>
      </w:r>
    </w:p>
    <w:p w:rsidRPr="00512944" w:rsidR="00512944" w:rsidP="00512944" w:rsidRDefault="00512944" w14:paraId="240500D1" w14:textId="5593979D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Participação na oficina regional de proposta do PDTU/DF e do Plano de Mobilidade Urbana Sustentável, na região administrativa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Candangolândia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>, em 25/08;</w:t>
      </w:r>
    </w:p>
    <w:p w:rsidRPr="00512944" w:rsidR="00512944" w:rsidP="00512944" w:rsidRDefault="00512944" w14:paraId="6EFD28EA" w14:textId="2E46CEF2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Participação na oficina regional de proposta do PDTU/DF e do Plano de Mobilidade Urbana Sustentável, na região administrativa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Itapoã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>, em 26/08;</w:t>
      </w:r>
    </w:p>
    <w:p w:rsidRPr="00512944" w:rsidR="00512944" w:rsidP="00512944" w:rsidRDefault="00512944" w14:paraId="011794CB" w14:textId="1098EBD8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na oficina regional de proposta do PDTU/DF e do Plano de Mobilidade Urbana Sustentável, na região administrativa Guará, em 27/08;</w:t>
      </w:r>
    </w:p>
    <w:p w:rsidRPr="00512944" w:rsidR="00512944" w:rsidP="00512944" w:rsidRDefault="00512944" w14:paraId="00B3E5EC" w14:textId="701E2922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no Conexão ANPTrilhos 2025 – Mobilidade Estruturante, em Brasília/DF, em 27/08;</w:t>
      </w:r>
    </w:p>
    <w:p w:rsidRPr="00512944" w:rsidR="00512944" w:rsidP="00512944" w:rsidRDefault="00512944" w14:paraId="10884EBA" w14:textId="7F836D02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na oficina regional de proposta do PDTU/DF e do Plano de Mobilidade Urbana Sustentável, na região administrativa Santa Maria, em 28/08;</w:t>
      </w:r>
    </w:p>
    <w:p w:rsidRPr="00512944" w:rsidR="00512944" w:rsidP="00512944" w:rsidRDefault="00512944" w14:paraId="5840F931" w14:textId="5EC6265A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Participação na Sexta da Mobilidade – Como acelerar a expansão de metrôs e trens metropolitanos nas cidades brasileiras?, em 29/08, em evento do Insper; </w:t>
      </w:r>
    </w:p>
    <w:p w:rsidRPr="00512944" w:rsidR="00512944" w:rsidP="00512944" w:rsidRDefault="00512944" w14:paraId="4FA4A028" w14:textId="69BC7194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Entrevista ao DF 1, com veiculação em 01/09, com o tema Cartão Mobilidade;</w:t>
      </w:r>
    </w:p>
    <w:p w:rsidRPr="00512944" w:rsidR="00512944" w:rsidP="00512944" w:rsidRDefault="00512944" w14:paraId="79A10E79" w14:textId="1FBBF3CA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Participação na oficina regional de proposta do PDTU/DF e do Plano de Mobilidade Urbana Sustentável, na região administrativa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Arniqueira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>, em 01/09;</w:t>
      </w:r>
    </w:p>
    <w:p w:rsidRPr="00512944" w:rsidR="00512944" w:rsidP="00512944" w:rsidRDefault="00512944" w14:paraId="32B52009" w14:textId="57DA06D4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na oficina regional de proposta do PDTU/DF e do Plano de Mobilidade Urbana Sustentável, na região administrativa Ceilândia, em 02/09;</w:t>
      </w:r>
    </w:p>
    <w:p w:rsidRPr="00512944" w:rsidR="00512944" w:rsidP="00512944" w:rsidRDefault="00512944" w14:paraId="699AB848" w14:textId="0805D61C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na oficina regional de proposta do PDTU/DF e do Plano de Mobilidade Urbana Sustentável, na região administrativa Lago Norte, em 03/09;</w:t>
      </w:r>
    </w:p>
    <w:p w:rsidRPr="00512944" w:rsidR="00512944" w:rsidP="00512944" w:rsidRDefault="00512944" w14:paraId="6F9C9924" w14:textId="36DCF45C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Participação no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webinar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 “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Monitoreo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 y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digitalización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 de la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movilidad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: experiencias y lecciones aprendidas desde Chile”, em evento Centro de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Movilidad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Sostenible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 (CMS), em 03/09;</w:t>
      </w:r>
    </w:p>
    <w:p w:rsidRPr="00512944" w:rsidR="00512944" w:rsidP="00512944" w:rsidRDefault="00512944" w14:paraId="65ABE500" w14:textId="245F8C00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no evento “Como melhorar a política ambiental municipal?”, organizado pela Associação Brasileira de Municípios (ABM), em 11/09;</w:t>
      </w:r>
    </w:p>
    <w:p w:rsidRPr="00512944" w:rsidR="00512944" w:rsidP="00512944" w:rsidRDefault="00512944" w14:paraId="0E7D12A3" w14:textId="62C55DEA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Participação na 31ª Semana Metroferroviária, em evento da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AEAMESP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>, no período de 16 a 20/09;</w:t>
      </w:r>
    </w:p>
    <w:p w:rsidRPr="00512944" w:rsidR="00512944" w:rsidP="00512944" w:rsidRDefault="00512944" w14:paraId="6F409E53" w14:textId="43096E41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na 122ª Reunião do Fórum Nacional de Secretários e Dirigentes de Mobilidade Urbana, em Goiânia, no período de 16 e 17/09;</w:t>
      </w:r>
    </w:p>
    <w:p w:rsidRPr="00512944" w:rsidR="00512944" w:rsidP="00512944" w:rsidRDefault="00512944" w14:paraId="1D06CF50" w14:textId="7768CC2A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no Seminário “A participação social na política de mobilidade urbana”, em Brasília/DF, no período de 17 a 19/09;</w:t>
      </w:r>
    </w:p>
    <w:p w:rsidRPr="00512944" w:rsidR="00512944" w:rsidP="00512944" w:rsidRDefault="00512944" w14:paraId="294BFEF7" w14:textId="1EFF2FE2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>Participação como palestrante no Seminário “A participação social na política de mobilidade urbana”, no painel 1 – “Arcabouço normativo e político-institucional da mobilidade”, em 18/09;</w:t>
      </w:r>
    </w:p>
    <w:p w:rsidRPr="00512944" w:rsidR="00512944" w:rsidP="00512944" w:rsidRDefault="00512944" w14:paraId="63810778" w14:textId="32A267EE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Entrevista concedida à TV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Record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, para o Programa Balanço Geral, com veiculação em 22/09, sobre o reajuste das tarifas no Serviço Interestadual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Semiurbano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>;</w:t>
      </w:r>
    </w:p>
    <w:p w:rsidRPr="00512944" w:rsidR="00512944" w:rsidP="00512944" w:rsidRDefault="00512944" w14:paraId="68087A35" w14:textId="2C93F48A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Entrevista concedida à TV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Record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 xml:space="preserve">, para o Programa DF no Ar, com veiculação em 23/09, sobre o reajuste das tarifas no Serviço Interestadual </w:t>
      </w:r>
      <w:proofErr w:type="spellStart"/>
      <w:r w:rsidRPr="00512944">
        <w:rPr>
          <w:rFonts w:ascii="Times New Roman" w:hAnsi="Times New Roman" w:eastAsia="Times New Roman" w:cs="Times New Roman"/>
          <w:sz w:val="24"/>
          <w:szCs w:val="24"/>
        </w:rPr>
        <w:t>Semiurbano</w:t>
      </w:r>
      <w:proofErr w:type="spellEnd"/>
      <w:r w:rsidRPr="00512944">
        <w:rPr>
          <w:rFonts w:ascii="Times New Roman" w:hAnsi="Times New Roman" w:eastAsia="Times New Roman" w:cs="Times New Roman"/>
          <w:sz w:val="24"/>
          <w:szCs w:val="24"/>
        </w:rPr>
        <w:t>;</w:t>
      </w:r>
    </w:p>
    <w:p w:rsidR="00512944" w:rsidP="202624D2" w:rsidRDefault="00512944" w14:noSpellErr="1" w14:paraId="310D4666" w14:textId="7C50D924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02624D2" w:rsidR="00512944">
        <w:rPr>
          <w:rFonts w:ascii="Times New Roman" w:hAnsi="Times New Roman" w:eastAsia="Times New Roman" w:cs="Times New Roman"/>
          <w:sz w:val="24"/>
          <w:szCs w:val="24"/>
        </w:rPr>
        <w:t xml:space="preserve">Produção do artigo técnico “Todos perdem com o fim da faixa exclusiva </w:t>
      </w:r>
      <w:r w:rsidRPr="202624D2" w:rsidR="00512944">
        <w:rPr>
          <w:rFonts w:ascii="Times New Roman" w:hAnsi="Times New Roman" w:eastAsia="Times New Roman" w:cs="Times New Roman"/>
          <w:sz w:val="24"/>
          <w:szCs w:val="24"/>
        </w:rPr>
        <w:t>na</w:t>
      </w:r>
      <w:r w:rsidRPr="202624D2" w:rsidR="00512944">
        <w:rPr>
          <w:rFonts w:ascii="Times New Roman" w:hAnsi="Times New Roman" w:eastAsia="Times New Roman" w:cs="Times New Roman"/>
          <w:sz w:val="24"/>
          <w:szCs w:val="24"/>
        </w:rPr>
        <w:t xml:space="preserve"> DF-463/DF-001”, em 23/09;</w:t>
      </w:r>
    </w:p>
    <w:p w:rsidR="48260B3D" w:rsidP="202624D2" w:rsidRDefault="48260B3D" w14:paraId="015F27D1" w14:textId="6E92075A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02624D2" w:rsidR="48260B3D">
        <w:rPr>
          <w:rFonts w:ascii="Times New Roman" w:hAnsi="Times New Roman" w:eastAsia="Times New Roman" w:cs="Times New Roman"/>
          <w:sz w:val="24"/>
          <w:szCs w:val="24"/>
        </w:rPr>
        <w:t xml:space="preserve">Participação como debatedor na live “Semana nacional de mobilidade urbana: história e futuro”, no Canal do Deputado Federal Rubens Otoni (PT/GO), em 24/09; </w:t>
      </w:r>
    </w:p>
    <w:p w:rsidR="48260B3D" w:rsidP="202624D2" w:rsidRDefault="48260B3D" w14:paraId="6007002B" w14:textId="53C7DFF6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noProof w:val="0"/>
          <w:sz w:val="22"/>
          <w:szCs w:val="22"/>
          <w:lang w:val="pt-BR"/>
        </w:rPr>
      </w:pPr>
      <w:r w:rsidRPr="202624D2" w:rsidR="48260B3D">
        <w:rPr>
          <w:noProof w:val="0"/>
          <w:lang w:val="pt-BR"/>
        </w:rPr>
        <w:t>Participação na 7ª Reunião do Fórum Baiano de Secretários e Dirigentes de Mobilidade Urbana, no período de 25 e 26/09;</w:t>
      </w:r>
    </w:p>
    <w:p w:rsidR="48260B3D" w:rsidP="202624D2" w:rsidRDefault="48260B3D" w14:paraId="1F2026C1" w14:textId="7ADCC656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Realização da aula inaugural do curso de pós-graduação “MBA em Mobilidade Urbana”, em parceria conjunta com o IESB, em 30/09;</w:t>
      </w:r>
    </w:p>
    <w:p w:rsidR="48260B3D" w:rsidP="202624D2" w:rsidRDefault="48260B3D" w14:paraId="5FC6EC47" w14:textId="4ACA3419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capacitação “Mobilidade urbana e soluções baseadas na natureza: integrando estratégias de adaptação para as cidades brasileiras”, em evento do Ministério das Cidades, em 30/09;</w:t>
      </w:r>
    </w:p>
    <w:p w:rsidR="48260B3D" w:rsidP="202624D2" w:rsidRDefault="48260B3D" w14:paraId="67BE05DC" w14:textId="58A1C50C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5° Encontro do ciclo de capacitações em Eletromobilidade, em evento do Ministério das Cidades, em 30/09;</w:t>
      </w:r>
    </w:p>
    <w:p w:rsidR="48260B3D" w:rsidP="202624D2" w:rsidRDefault="48260B3D" w14:paraId="0784FB2F" w14:textId="39889EC2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IX Brasil nos Trilhos, realizado em Brasília pela Associação Nacional dos Transportadores Ferroviários, no período de 01 a 02/10;</w:t>
      </w:r>
    </w:p>
    <w:p w:rsidR="48260B3D" w:rsidP="202624D2" w:rsidRDefault="48260B3D" w14:paraId="5D563ADE" w14:textId="609A951E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Participação na 4ª </w:t>
      </w: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Capacitaçao</w:t>
      </w: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da iniciativa de apoio à elaboração de Planos de Mobilidade Urbana locais, em evento do Ministério das Cidades, em 03/10;</w:t>
      </w:r>
    </w:p>
    <w:p w:rsidR="48260B3D" w:rsidP="202624D2" w:rsidRDefault="48260B3D" w14:paraId="1B771A4C" w14:textId="16EEE9E2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27ª Reunião da Comissão Permanente do Direito à Cidade, em Brasília, em 07/10;</w:t>
      </w:r>
    </w:p>
    <w:p w:rsidR="48260B3D" w:rsidP="202624D2" w:rsidRDefault="48260B3D" w14:paraId="7171C291" w14:textId="4B24933D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Técnica da Comissão de Transporte e Mobilidade Urbana da CLDF, com o tema “O PDOT e a mobilidade urbana no DF”, em Brasília, em 08/10;</w:t>
      </w:r>
    </w:p>
    <w:p w:rsidR="48260B3D" w:rsidP="202624D2" w:rsidRDefault="48260B3D" w14:paraId="77FBB2EE" w14:textId="0BBAF4CA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202624D2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pública do PDOT, com o tema “Meio ambiente e direito ao território”, em Brasília, em 09/10;</w:t>
      </w:r>
    </w:p>
    <w:p w:rsidR="48260B3D" w:rsidP="202624D2" w:rsidRDefault="48260B3D" w14:paraId="202396D9" w14:textId="1751028A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48260B3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Entrevista concedida ao jornal Correio Braziliense, com veiculação em 09/10, sobre o transporte pirata de passageiros no DF e Entorno;</w:t>
      </w:r>
    </w:p>
    <w:p w:rsidR="5F8F6183" w:rsidP="3C6EE06A" w:rsidRDefault="5F8F6183" w14:paraId="6771E90C" w14:textId="1514D9CB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Produção do artigo técnico “O uso equivocado da mobilidade urbana como instrumento de luta ideológica”, em 19/10;</w:t>
      </w:r>
    </w:p>
    <w:p w:rsidR="5F8F6183" w:rsidP="3C6EE06A" w:rsidRDefault="5F8F6183" w14:paraId="31686DD4" w14:textId="582367AC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da força-tarefa da COP30 da Plataforma Global pelo Direito à Cidade, em 20/10;</w:t>
      </w:r>
    </w:p>
    <w:p w:rsidR="5F8F6183" w:rsidP="3C6EE06A" w:rsidRDefault="5F8F6183" w14:paraId="7D296EB8" w14:textId="33115478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Gerigonça São Paulo, com o tema “direito à mobilidade e tarifa zero”, em 20/10;</w:t>
      </w:r>
    </w:p>
    <w:p w:rsidR="5F8F6183" w:rsidP="3C6EE06A" w:rsidRDefault="5F8F6183" w14:paraId="1920E5A5" w14:textId="5C8B2DD4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Participação em </w:t>
      </w: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audência</w:t>
      </w: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pública da Comissão de Desenvolvimento Urbano da Câmara Federal, em Brasília, com o tema “Gratuidade integral e universal no transporte público”, em 21/10;</w:t>
      </w:r>
    </w:p>
    <w:p w:rsidR="5F8F6183" w:rsidP="3C6EE06A" w:rsidRDefault="5F8F6183" w14:paraId="0CF6218F" w14:textId="5D177C1A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XII Congresso Brasileiro de Direito Urbanístico, em Brasília/DF, no período de 21 a 23/10, em evento do IBDU;</w:t>
      </w:r>
    </w:p>
    <w:p w:rsidR="5F8F6183" w:rsidP="3C6EE06A" w:rsidRDefault="5F8F6183" w14:paraId="217D28F6" w14:textId="3C20BA10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Participação na live “Governança da mobilidade urbana e a proposta de criação de uma instituição setorial”, no Canal do Deputado Federal Rubens Otoni (PT/GO), em 22/10; </w:t>
      </w:r>
    </w:p>
    <w:p w:rsidR="5F8F6183" w:rsidP="3C6EE06A" w:rsidRDefault="5F8F6183" w14:paraId="0A37921F" w14:textId="451EB7C3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8ª Reunião Técnica da Comissão de Transporte e Mobilidade Urbana da CLDF, com o tema “Faixa azul e segurança para motociclistas”, em 22/10;</w:t>
      </w:r>
    </w:p>
    <w:p w:rsidR="5F8F6183" w:rsidP="3C6EE06A" w:rsidRDefault="5F8F6183" w14:paraId="376A5029" w14:textId="2BD17D8B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Arena ANTP 2025, em São Paulo/SP, no período de 28 a 30/10;</w:t>
      </w:r>
    </w:p>
    <w:p w:rsidR="5F8F6183" w:rsidP="3C6EE06A" w:rsidRDefault="5F8F6183" w14:paraId="2D0405A7" w14:textId="5380D441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como coautor da Comunicação Técnica “Governança da mobilidade urbana para efetivar o direito social ao transporte”, na Arena ANTP 2025, em 30/10;</w:t>
      </w:r>
    </w:p>
    <w:p w:rsidR="5F8F6183" w:rsidP="3C6EE06A" w:rsidRDefault="5F8F6183" w14:paraId="6BF9CE97" w14:textId="3ABAA9F8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como moderador no Painel “Sistema Único de Mobilidade: universalização, aprendizados e desafios para os entes federados”, na Arena ANTP 2025, em 30/10;</w:t>
      </w:r>
    </w:p>
    <w:p w:rsidR="5F8F6183" w:rsidP="3C6EE06A" w:rsidRDefault="5F8F6183" w14:paraId="72585E04" w14:textId="2A8B68C3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Entrevista concedida ao jornal Correio Braziliense, com veiculação em 31/10, sobre o Estudo Nacional de Mobilidade Urbana – </w:t>
      </w: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Mcidades</w:t>
      </w: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/BNDES;</w:t>
      </w:r>
    </w:p>
    <w:p w:rsidR="5F8F6183" w:rsidP="3C6EE06A" w:rsidRDefault="5F8F6183" w14:paraId="0B7FFC9B" w14:textId="1F30643D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Participação como entrevistado no Programa de Rádio CBN Brasília, em edição do dia 03/11, com o tema “Estudo Nacional de Mobilidade Urbana – </w:t>
      </w: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Mcidades</w:t>
      </w:r>
      <w:r w:rsidRPr="3C6EE06A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/BNDES”;</w:t>
      </w:r>
    </w:p>
    <w:p w:rsidR="5F8F6183" w:rsidP="3C6EE06A" w:rsidRDefault="5F8F6183" w14:paraId="0B4E9834" w14:textId="2FFFA825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Participação no Seminário “Desafios e oportunidades no setor de transporte metroferroviário”, em Brasília/DF, em evento da </w:t>
      </w:r>
      <w:r w:rsidRPr="7B3B601F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Frenlogi</w:t>
      </w:r>
      <w:r w:rsidRPr="7B3B601F" w:rsidR="5F8F618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, em 04/11;</w:t>
      </w:r>
    </w:p>
    <w:p w:rsidR="2F1EDCC3" w:rsidP="7B3B601F" w:rsidRDefault="2F1EDCC3" w14:paraId="5FC2E5D0" w14:textId="2AAEC285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Entrevista concedida à Revista </w:t>
      </w: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Technibus</w:t>
      </w: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, sobre o Sistema Único de Mobilidade Urbana (SUM), com veiculação a partir de 06/11;</w:t>
      </w:r>
    </w:p>
    <w:p w:rsidR="2F1EDCC3" w:rsidP="7B3B601F" w:rsidRDefault="2F1EDCC3" w14:paraId="25F8D832" w14:textId="6F00E8D9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evento “Quando o clima muda o caminho: mobilidade e adaptação climática nas cidades”, organizado pela Cidade Ativa, em 07/11;</w:t>
      </w:r>
    </w:p>
    <w:p w:rsidR="2F1EDCC3" w:rsidP="7B3B601F" w:rsidRDefault="2F1EDCC3" w14:paraId="14BDAAC3" w14:textId="7FCD09A1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Partricipação</w:t>
      </w: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no painel “Plenária urbana – movimentos sociais e organizações da sociedade civil reunidos pela justiça climática e o direito à cidade”, em evento da Casa das ONGs na COP 30, em 11/11;</w:t>
      </w:r>
    </w:p>
    <w:p w:rsidR="2F1EDCC3" w:rsidP="7B3B601F" w:rsidRDefault="2F1EDCC3" w14:paraId="2ECB3A76" w14:textId="2A3FA386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XXVI Congresso Nacional do Ministério Público, em Brasília, em 13/11;</w:t>
      </w:r>
    </w:p>
    <w:p w:rsidR="2F1EDCC3" w:rsidP="7B3B601F" w:rsidRDefault="2F1EDCC3" w14:paraId="0D852E17" w14:textId="69673374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do Comitê de Governança do Plano Diretor de Transporte Urbano e Mobilidade do Distrito Federal (CGOV/PDTU-DF), em 14/11;</w:t>
      </w:r>
    </w:p>
    <w:p w:rsidR="2F1EDCC3" w:rsidP="7B3B601F" w:rsidRDefault="2F1EDCC3" w14:paraId="6A0EB3E4" w14:textId="12B9EF52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123ª Reunião do Fórum Nacional de Secretários e Dirigentes de Mobilidade Urbana, em Gramado, em 18/11;</w:t>
      </w:r>
    </w:p>
    <w:p w:rsidR="2F1EDCC3" w:rsidP="7B3B601F" w:rsidRDefault="2F1EDCC3" w14:paraId="21A00688" w14:textId="69E074E5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audiência pública “Mapa das desigualdades do Distrito Federal 2025”, em evento da CLDF, em 18/11;</w:t>
      </w:r>
    </w:p>
    <w:p w:rsidR="2F1EDCC3" w:rsidP="7B3B601F" w:rsidRDefault="2F1EDCC3" w14:paraId="293D0211" w14:textId="20B70A4A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virtual de atualização do PDTU-DF, com o tema “gestão da mobilidade urbana”, em 24/11;</w:t>
      </w:r>
    </w:p>
    <w:p w:rsidR="2F1EDCC3" w:rsidP="7B3B601F" w:rsidRDefault="2F1EDCC3" w14:paraId="77DB4303" w14:textId="6BE8C6C2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Fórum Band de Mobilidade Urbana, em evento da TV Band Minas, em 26/11;</w:t>
      </w:r>
    </w:p>
    <w:p w:rsidR="2F1EDCC3" w:rsidP="7B3B601F" w:rsidRDefault="2F1EDCC3" w14:paraId="5038DED1" w14:textId="40A8B6F2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evento de lançamento da Nota Técnica “Mortalidade e morbidade das motocicletas e os riscos da implantação do mototáxi no Brasil”, em evento da DIRUR/IPEA, em 26/11;</w:t>
      </w:r>
    </w:p>
    <w:p w:rsidR="2F1EDCC3" w:rsidP="7B3B601F" w:rsidRDefault="2F1EDCC3" w14:paraId="583057AE" w14:textId="50F17797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virtual de atualização do PDTU-DF, com o tema “estratégia de implementação (diretrizes, indicadores e participação social)”, em 26/11;</w:t>
      </w:r>
    </w:p>
    <w:p w:rsidR="2F1EDCC3" w:rsidP="7B3B601F" w:rsidRDefault="2F1EDCC3" w14:paraId="1CE40BCC" w14:textId="683C86D6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no evento “Sexta da Mobilidade”, com o tema “Uso de dados em favor da segurança viária”, organizado pelo Insper, em 28/11;</w:t>
      </w:r>
    </w:p>
    <w:p w:rsidR="2F1EDCC3" w:rsidP="7B3B601F" w:rsidRDefault="2F1EDCC3" w14:paraId="1E81BA39" w14:textId="2B02394F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virtual de atualização do PDTU-DF, com o tema “cenários alternativos”, em 01/12;</w:t>
      </w:r>
    </w:p>
    <w:p w:rsidR="2F1EDCC3" w:rsidP="7B3B601F" w:rsidRDefault="2F1EDCC3" w14:paraId="15378E2A" w14:textId="155D9836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Participação no Seminário Nacional da Câmara Temática de Meio </w:t>
      </w: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Amibiente</w:t>
      </w: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e Extremos Climáticos do CAU-BR, em Brasília, em 02/12;</w:t>
      </w:r>
    </w:p>
    <w:p w:rsidR="2F1EDCC3" w:rsidP="7B3B601F" w:rsidRDefault="2F1EDCC3" w14:paraId="3512A7A9" w14:textId="59B51963">
      <w:pPr>
        <w:pStyle w:val="PargrafodaLista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59ª reunião ordinária do Conselho das Cidades, em Brasília/DF, em 03/12;</w:t>
      </w:r>
    </w:p>
    <w:p w:rsidR="2F1EDCC3" w:rsidP="7B3B601F" w:rsidRDefault="2F1EDCC3" w14:paraId="49F6B1AB" w14:textId="66491ADD">
      <w:pPr>
        <w:pStyle w:val="PargrafodaLista"/>
        <w:numPr>
          <w:ilvl w:val="0"/>
          <w:numId w:val="1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B3B601F" w:rsidR="2F1EDCC3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Participação na reunião virtual de atualização do PDTU-DF, com o tema “operação do sistema viário, segurança viária e circulação de cargas”, em 03/12;</w:t>
      </w:r>
    </w:p>
    <w:sectPr w:rsidRPr="002E0EDE" w:rsidR="008E60D3">
      <w:headerReference w:type="default" r:id="rId7"/>
      <w:footerReference w:type="default" r:id="rId8"/>
      <w:pgSz w:w="11906" w:h="16838" w:orient="portrait"/>
      <w:pgMar w:top="765" w:right="720" w:bottom="765" w:left="720" w:header="708" w:footer="708" w:gutter="0"/>
      <w:pgBorders>
        <w:top w:val="single" w:color="000000" w:sz="4" w:space="10"/>
        <w:left w:val="single" w:color="000000" w:sz="4" w:space="11"/>
        <w:bottom w:val="single" w:color="000000" w:sz="4" w:space="10"/>
        <w:right w:val="single" w:color="000000" w:sz="4" w:space="11"/>
      </w:pgBorders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B15B0" w:rsidRDefault="002B15B0" w14:paraId="5587B074" w14:textId="77777777">
      <w:pPr>
        <w:spacing w:after="0" w:line="240" w:lineRule="auto"/>
      </w:pPr>
      <w:r>
        <w:separator/>
      </w:r>
    </w:p>
  </w:endnote>
  <w:endnote w:type="continuationSeparator" w:id="0">
    <w:p w:rsidR="002B15B0" w:rsidRDefault="002B15B0" w14:paraId="3A67393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B61EE" w:rsidRDefault="002B15B0" w14:paraId="76E57F99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SCS, Quadra 4, Bloco A, Edifício Embaixador, Sala 513 – Brasília/DF – CEP: 70300-907</w:t>
    </w:r>
  </w:p>
  <w:p w:rsidR="002B61EE" w:rsidRDefault="002B15B0" w14:paraId="48C9142B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Fone: (61) 3202-0899             E-mail: mdtbrasilia@gmail.com</w:t>
    </w:r>
  </w:p>
  <w:p w:rsidR="002B61EE" w:rsidRDefault="002B15B0" w14:paraId="1483F64F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CNPJ: 25.266.568/0001-80              Inscrição Estadual: 07.779.256/001-75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B15B0" w:rsidRDefault="002B15B0" w14:paraId="05E55D14" w14:textId="77777777">
      <w:pPr>
        <w:spacing w:after="0" w:line="240" w:lineRule="auto"/>
      </w:pPr>
      <w:r>
        <w:separator/>
      </w:r>
    </w:p>
  </w:footnote>
  <w:footnote w:type="continuationSeparator" w:id="0">
    <w:p w:rsidR="002B15B0" w:rsidRDefault="002B15B0" w14:paraId="2B7C47B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2B61EE" w:rsidRDefault="002B15B0" w14:paraId="0A37501D" w14:textId="77777777">
    <w:pPr>
      <w:pStyle w:val="Cabealho"/>
      <w:jc w:val="center"/>
      <w:rPr>
        <w:sz w:val="23"/>
        <w:szCs w:val="23"/>
      </w:rPr>
    </w:pPr>
    <w:r>
      <w:rPr>
        <w:noProof/>
      </w:rPr>
      <w:drawing>
        <wp:inline distT="0" distB="0" distL="0" distR="0" wp14:anchorId="40D91DCF" wp14:editId="07777777">
          <wp:extent cx="2600960" cy="50546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00960" cy="505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B61EE" w:rsidRDefault="002B61EE" w14:paraId="5DAB6C7B" w14:textId="777777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FF868"/>
    <w:multiLevelType w:val="hybridMultilevel"/>
    <w:tmpl w:val="FFFFFFFF"/>
    <w:lvl w:ilvl="0" w:tplc="04C2FBF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E6831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D5864A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9AA1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868B00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122F6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344B15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8B20D2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11C9B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9FA093"/>
    <w:multiLevelType w:val="hybridMultilevel"/>
    <w:tmpl w:val="FFFFFFFF"/>
    <w:lvl w:ilvl="0" w:tplc="8BF49E4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970652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308BF6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0E428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443E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0CA32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FAA8A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570FF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CB8000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AE62E88"/>
    <w:multiLevelType w:val="hybridMultilevel"/>
    <w:tmpl w:val="FFFFFFFF"/>
    <w:lvl w:ilvl="0" w:tplc="3A66AAD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BF3845F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66621A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ADA78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44C6B8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D046A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13451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20C5B9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8B29A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FC143EF"/>
    <w:multiLevelType w:val="hybridMultilevel"/>
    <w:tmpl w:val="FFFFFFFF"/>
    <w:lvl w:ilvl="0" w:tplc="3EB6302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644885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18C3CA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3462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1DE48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E1CB6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2AA64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A5C6D1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9C39D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A195CD0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1B42B30D"/>
    <w:multiLevelType w:val="hybridMultilevel"/>
    <w:tmpl w:val="FFFFFFFF"/>
    <w:lvl w:ilvl="0" w:tplc="9710D5F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EE10677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5AD9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ADA6C0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5EEA83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F30E47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30C854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B8239C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6E49E7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0BDF054"/>
    <w:multiLevelType w:val="multilevel"/>
    <w:tmpl w:val="FFFFFFFF"/>
    <w:lvl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 w:cs="Wingdings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 w15:restartNumberingAfterBreak="0">
    <w:nsid w:val="39A638BD"/>
    <w:multiLevelType w:val="hybridMultilevel"/>
    <w:tmpl w:val="FFFFFFFF"/>
    <w:lvl w:ilvl="0" w:tplc="912016E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31A3B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A4CCE0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70CAD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2EA1F2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BBC79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3ED87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14CB6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B500F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05044E0"/>
    <w:multiLevelType w:val="hybridMultilevel"/>
    <w:tmpl w:val="FFFFFFFF"/>
    <w:lvl w:ilvl="0" w:tplc="42701184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309657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E5414C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6A854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15032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1B834E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DE049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08EE3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F58E6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23460862">
    <w:abstractNumId w:val="1"/>
  </w:num>
  <w:num w:numId="2" w16cid:durableId="1116944728">
    <w:abstractNumId w:val="5"/>
  </w:num>
  <w:num w:numId="3" w16cid:durableId="1775008945">
    <w:abstractNumId w:val="2"/>
  </w:num>
  <w:num w:numId="4" w16cid:durableId="860313550">
    <w:abstractNumId w:val="7"/>
  </w:num>
  <w:num w:numId="5" w16cid:durableId="199172160">
    <w:abstractNumId w:val="0"/>
  </w:num>
  <w:num w:numId="6" w16cid:durableId="863858109">
    <w:abstractNumId w:val="3"/>
  </w:num>
  <w:num w:numId="7" w16cid:durableId="1235748484">
    <w:abstractNumId w:val="8"/>
  </w:num>
  <w:num w:numId="8" w16cid:durableId="1104690538">
    <w:abstractNumId w:val="6"/>
  </w:num>
  <w:num w:numId="9" w16cid:durableId="2071880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revisionView w:inkAnnotations="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699F80"/>
    <w:rsid w:val="002B15B0"/>
    <w:rsid w:val="002B61EE"/>
    <w:rsid w:val="002D01DD"/>
    <w:rsid w:val="002E0EDE"/>
    <w:rsid w:val="003F2233"/>
    <w:rsid w:val="003F6300"/>
    <w:rsid w:val="00401E67"/>
    <w:rsid w:val="004352BF"/>
    <w:rsid w:val="00512944"/>
    <w:rsid w:val="006E14DF"/>
    <w:rsid w:val="008E60D3"/>
    <w:rsid w:val="00A61BF5"/>
    <w:rsid w:val="00D17C18"/>
    <w:rsid w:val="00EA0DD4"/>
    <w:rsid w:val="02699F80"/>
    <w:rsid w:val="0C7838B5"/>
    <w:rsid w:val="0EDD779B"/>
    <w:rsid w:val="1005C5AE"/>
    <w:rsid w:val="146C644E"/>
    <w:rsid w:val="17D14B81"/>
    <w:rsid w:val="1C42475B"/>
    <w:rsid w:val="1E276280"/>
    <w:rsid w:val="202624D2"/>
    <w:rsid w:val="255FB236"/>
    <w:rsid w:val="2606EF70"/>
    <w:rsid w:val="2720C5CF"/>
    <w:rsid w:val="2993EE48"/>
    <w:rsid w:val="2AB45B11"/>
    <w:rsid w:val="2F1EDCC3"/>
    <w:rsid w:val="3051FDE0"/>
    <w:rsid w:val="329E8767"/>
    <w:rsid w:val="3C6EE06A"/>
    <w:rsid w:val="3CB4EDD0"/>
    <w:rsid w:val="3FD1BD91"/>
    <w:rsid w:val="404236F6"/>
    <w:rsid w:val="4315B65E"/>
    <w:rsid w:val="48260B3D"/>
    <w:rsid w:val="494D1CAC"/>
    <w:rsid w:val="4A3CD780"/>
    <w:rsid w:val="52EB2982"/>
    <w:rsid w:val="54359CBA"/>
    <w:rsid w:val="5620B7E0"/>
    <w:rsid w:val="593CBB26"/>
    <w:rsid w:val="5F8F6183"/>
    <w:rsid w:val="62834628"/>
    <w:rsid w:val="6314E5F3"/>
    <w:rsid w:val="6E401969"/>
    <w:rsid w:val="723AC161"/>
    <w:rsid w:val="734CE08C"/>
    <w:rsid w:val="7752EE40"/>
    <w:rsid w:val="79C57DCD"/>
    <w:rsid w:val="7A92630A"/>
    <w:rsid w:val="7AF61B66"/>
    <w:rsid w:val="7B3B601F"/>
    <w:rsid w:val="7D5BF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D4EE14"/>
  <w15:docId w15:val="{3F9E2A08-3F94-48DD-AB1E-2C3008FA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14E67"/>
    <w:pPr>
      <w:spacing w:after="200" w:line="276" w:lineRule="auto"/>
    </w:pPr>
    <w:rPr>
      <w:rFonts w:cs="Calibri"/>
      <w:sz w:val="22"/>
      <w:lang w:eastAsia="en-US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CabealhoChar" w:customStyle="1">
    <w:name w:val="Cabeçalho Char"/>
    <w:basedOn w:val="Fontepargpadro"/>
    <w:link w:val="Cabealho"/>
    <w:uiPriority w:val="99"/>
    <w:semiHidden/>
    <w:qFormat/>
    <w:rsid w:val="00725BE7"/>
  </w:style>
  <w:style w:type="character" w:styleId="RodapChar" w:customStyle="1">
    <w:name w:val="Rodapé Char"/>
    <w:basedOn w:val="Fontepargpadro"/>
    <w:link w:val="Rodap"/>
    <w:uiPriority w:val="99"/>
    <w:semiHidden/>
    <w:qFormat/>
    <w:rsid w:val="00725BE7"/>
  </w:style>
  <w:style w:type="character" w:styleId="TextodebaloChar" w:customStyle="1">
    <w:name w:val="Texto de balão Char"/>
    <w:basedOn w:val="Fontepargpadro"/>
    <w:link w:val="Textodebalo"/>
    <w:uiPriority w:val="99"/>
    <w:semiHidden/>
    <w:qFormat/>
    <w:rsid w:val="00725BE7"/>
    <w:rPr>
      <w:rFonts w:ascii="Tahoma" w:hAnsi="Tahoma" w:cs="Tahoma"/>
      <w:sz w:val="16"/>
      <w:szCs w:val="16"/>
    </w:rPr>
  </w:style>
  <w:style w:type="character" w:styleId="TextodenotadefimChar" w:customStyle="1">
    <w:name w:val="Texto de nota de fim Char"/>
    <w:basedOn w:val="Fontepargpadro"/>
    <w:link w:val="Textodenotadefim"/>
    <w:uiPriority w:val="99"/>
    <w:semiHidden/>
    <w:qFormat/>
    <w:rsid w:val="00CF1C4D"/>
    <w:rPr>
      <w:sz w:val="20"/>
      <w:szCs w:val="20"/>
      <w:lang w:eastAsia="en-US"/>
    </w:rPr>
  </w:style>
  <w:style w:type="character" w:styleId="ncoradanotadefim" w:customStyle="1">
    <w:name w:val="Âncora da nota de fim"/>
    <w:rPr>
      <w:vertAlign w:val="superscript"/>
    </w:rPr>
  </w:style>
  <w:style w:type="character" w:styleId="EndnoteCharacters" w:customStyle="1">
    <w:name w:val="Endnote Characters"/>
    <w:basedOn w:val="Fontepargpadro"/>
    <w:uiPriority w:val="99"/>
    <w:semiHidden/>
    <w:qFormat/>
    <w:rsid w:val="00CF2F2C"/>
    <w:rPr>
      <w:vertAlign w:val="superscript"/>
    </w:rPr>
  </w:style>
  <w:style w:type="character" w:styleId="Forte">
    <w:name w:val="Strong"/>
    <w:basedOn w:val="Fontepargpadro"/>
    <w:uiPriority w:val="99"/>
    <w:qFormat/>
    <w:rsid w:val="00C64D1E"/>
    <w:rPr>
      <w:b/>
      <w:bCs/>
    </w:rPr>
  </w:style>
  <w:style w:type="character" w:styleId="ListLabel1" w:customStyle="1">
    <w:name w:val="ListLabel 1"/>
    <w:qFormat/>
    <w:rPr>
      <w:rFonts w:ascii="Times New Roman" w:hAnsi="Times New Roman" w:cs="Wingdings"/>
      <w:b/>
      <w:sz w:val="24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Wingdings"/>
    </w:rPr>
  </w:style>
  <w:style w:type="character" w:styleId="ListLabel4" w:customStyle="1">
    <w:name w:val="ListLabel 4"/>
    <w:qFormat/>
    <w:rPr>
      <w:rFonts w:cs="Symbol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Wingdings"/>
    </w:rPr>
  </w:style>
  <w:style w:type="character" w:styleId="ListLabel7" w:customStyle="1">
    <w:name w:val="ListLabel 7"/>
    <w:qFormat/>
    <w:rPr>
      <w:rFonts w:cs="Symbol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Wingdings"/>
    </w:rPr>
  </w:style>
  <w:style w:type="character" w:styleId="ListLabel10" w:customStyle="1">
    <w:name w:val="ListLabel 10"/>
    <w:qFormat/>
    <w:rPr>
      <w:rFonts w:cs="Wingdings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Wingdings"/>
    </w:rPr>
  </w:style>
  <w:style w:type="character" w:styleId="ListLabel13" w:customStyle="1">
    <w:name w:val="ListLabel 13"/>
    <w:qFormat/>
    <w:rPr>
      <w:rFonts w:cs="Symbol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Wingdings"/>
    </w:rPr>
  </w:style>
  <w:style w:type="character" w:styleId="ListLabel16" w:customStyle="1">
    <w:name w:val="ListLabel 16"/>
    <w:qFormat/>
    <w:rPr>
      <w:rFonts w:cs="Symbol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Wingdings"/>
    </w:rPr>
  </w:style>
  <w:style w:type="character" w:styleId="ListLabel19" w:customStyle="1">
    <w:name w:val="ListLabel 19"/>
    <w:qFormat/>
    <w:rPr>
      <w:rFonts w:cs="Wingdings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Wingdings"/>
    </w:rPr>
  </w:style>
  <w:style w:type="character" w:styleId="ListLabel22" w:customStyle="1">
    <w:name w:val="ListLabel 22"/>
    <w:qFormat/>
    <w:rPr>
      <w:rFonts w:cs="Symbol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Wingdings"/>
    </w:rPr>
  </w:style>
  <w:style w:type="character" w:styleId="ListLabel25" w:customStyle="1">
    <w:name w:val="ListLabel 25"/>
    <w:qFormat/>
    <w:rPr>
      <w:rFonts w:cs="Symbol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Wingdings"/>
    </w:rPr>
  </w:style>
  <w:style w:type="character" w:styleId="ListLabel28" w:customStyle="1">
    <w:name w:val="ListLabel 28"/>
    <w:qFormat/>
    <w:rPr>
      <w:rFonts w:cs="Wingdings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Wingdings"/>
    </w:rPr>
  </w:style>
  <w:style w:type="character" w:styleId="ListLabel31" w:customStyle="1">
    <w:name w:val="ListLabel 31"/>
    <w:qFormat/>
    <w:rPr>
      <w:rFonts w:cs="Symbol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Wingdings"/>
    </w:rPr>
  </w:style>
  <w:style w:type="character" w:styleId="ListLabel34" w:customStyle="1">
    <w:name w:val="ListLabel 34"/>
    <w:qFormat/>
    <w:rPr>
      <w:rFonts w:cs="Symbol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Wingdings"/>
    </w:rPr>
  </w:style>
  <w:style w:type="character" w:styleId="ListLabel37" w:customStyle="1">
    <w:name w:val="ListLabel 37"/>
    <w:qFormat/>
    <w:rPr>
      <w:rFonts w:ascii="Times New Roman" w:hAnsi="Times New Roman" w:cs="Wingdings"/>
      <w:sz w:val="24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Wingdings"/>
    </w:rPr>
  </w:style>
  <w:style w:type="character" w:styleId="ListLabel40" w:customStyle="1">
    <w:name w:val="ListLabel 40"/>
    <w:qFormat/>
    <w:rPr>
      <w:rFonts w:cs="Symbol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Wingdings"/>
    </w:rPr>
  </w:style>
  <w:style w:type="character" w:styleId="ListLabel43" w:customStyle="1">
    <w:name w:val="ListLabel 43"/>
    <w:qFormat/>
    <w:rPr>
      <w:rFonts w:cs="Symbol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Wingdings"/>
    </w:rPr>
  </w:style>
  <w:style w:type="character" w:styleId="ListLabel46" w:customStyle="1">
    <w:name w:val="ListLabel 46"/>
    <w:qFormat/>
    <w:rPr>
      <w:rFonts w:cs="Wingdings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Wingdings"/>
    </w:rPr>
  </w:style>
  <w:style w:type="character" w:styleId="ListLabel49" w:customStyle="1">
    <w:name w:val="ListLabel 49"/>
    <w:qFormat/>
    <w:rPr>
      <w:rFonts w:cs="Symbol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Wingdings"/>
    </w:rPr>
  </w:style>
  <w:style w:type="character" w:styleId="ListLabel52" w:customStyle="1">
    <w:name w:val="ListLabel 52"/>
    <w:qFormat/>
    <w:rPr>
      <w:rFonts w:cs="Symbol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Wingdings"/>
    </w:rPr>
  </w:style>
  <w:style w:type="character" w:styleId="ListLabel55" w:customStyle="1">
    <w:name w:val="ListLabel 55"/>
    <w:qFormat/>
    <w:rPr>
      <w:rFonts w:ascii="Times New Roman" w:hAnsi="Times New Roman" w:cs="Wingdings"/>
      <w:b/>
      <w:sz w:val="24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ascii="Times New Roman" w:hAnsi="Times New Roman" w:cs="Wingdings"/>
      <w:b/>
      <w:sz w:val="24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LinkdaInternet" w:customStyle="1">
    <w:name w:val="Link da Internet"/>
    <w:rPr>
      <w:color w:val="000080"/>
      <w:u w:val="single"/>
    </w:rPr>
  </w:style>
  <w:style w:type="character" w:styleId="ListLabel82" w:customStyle="1">
    <w:name w:val="ListLabel 82"/>
    <w:qFormat/>
    <w:rPr>
      <w:rFonts w:ascii="Times New Roman" w:hAnsi="Times New Roman" w:cs="Wingdings"/>
      <w:b/>
      <w:sz w:val="24"/>
    </w:rPr>
  </w:style>
  <w:style w:type="character" w:styleId="ListLabel83" w:customStyle="1">
    <w:name w:val="ListLabel 83"/>
    <w:qFormat/>
    <w:rPr>
      <w:rFonts w:cs="Courier New"/>
    </w:rPr>
  </w:style>
  <w:style w:type="character" w:styleId="ListLabel84" w:customStyle="1">
    <w:name w:val="ListLabel 84"/>
    <w:qFormat/>
    <w:rPr>
      <w:rFonts w:cs="Wingdings"/>
    </w:rPr>
  </w:style>
  <w:style w:type="character" w:styleId="ListLabel85" w:customStyle="1">
    <w:name w:val="ListLabel 85"/>
    <w:qFormat/>
    <w:rPr>
      <w:rFonts w:cs="Symbol"/>
    </w:rPr>
  </w:style>
  <w:style w:type="character" w:styleId="ListLabel86" w:customStyle="1">
    <w:name w:val="ListLabel 86"/>
    <w:qFormat/>
    <w:rPr>
      <w:rFonts w:cs="Courier New"/>
    </w:rPr>
  </w:style>
  <w:style w:type="character" w:styleId="ListLabel87" w:customStyle="1">
    <w:name w:val="ListLabel 87"/>
    <w:qFormat/>
    <w:rPr>
      <w:rFonts w:cs="Wingdings"/>
    </w:rPr>
  </w:style>
  <w:style w:type="character" w:styleId="ListLabel88" w:customStyle="1">
    <w:name w:val="ListLabel 88"/>
    <w:qFormat/>
    <w:rPr>
      <w:rFonts w:cs="Symbol"/>
    </w:rPr>
  </w:style>
  <w:style w:type="character" w:styleId="ListLabel89" w:customStyle="1">
    <w:name w:val="ListLabel 89"/>
    <w:qFormat/>
    <w:rPr>
      <w:rFonts w:cs="Courier New"/>
    </w:rPr>
  </w:style>
  <w:style w:type="character" w:styleId="ListLabel90" w:customStyle="1">
    <w:name w:val="ListLabel 90"/>
    <w:qFormat/>
    <w:rPr>
      <w:rFonts w:cs="Wingdings"/>
    </w:rPr>
  </w:style>
  <w:style w:type="character" w:styleId="ListLabel91" w:customStyle="1">
    <w:name w:val="ListLabel 91"/>
    <w:qFormat/>
    <w:rPr>
      <w:rFonts w:ascii="Times New Roman" w:hAnsi="Times New Roman" w:cs="Times New Roman"/>
      <w:sz w:val="24"/>
      <w:szCs w:val="24"/>
    </w:rPr>
  </w:style>
  <w:style w:type="character" w:styleId="ListLabel92" w:customStyle="1">
    <w:name w:val="ListLabel 92"/>
    <w:qFormat/>
    <w:rPr>
      <w:rFonts w:ascii="Times New Roman" w:hAnsi="Times New Roman" w:cs="Times New Roman"/>
      <w:sz w:val="24"/>
      <w:szCs w:val="24"/>
    </w:rPr>
  </w:style>
  <w:style w:type="character" w:styleId="ListLabel93" w:customStyle="1">
    <w:name w:val="ListLabel 93"/>
    <w:qFormat/>
    <w:rPr>
      <w:rFonts w:ascii="Times New Roman" w:hAnsi="Times New Roman" w:cs="Wingdings"/>
      <w:b/>
      <w:sz w:val="24"/>
    </w:rPr>
  </w:style>
  <w:style w:type="character" w:styleId="ListLabel94" w:customStyle="1">
    <w:name w:val="ListLabel 94"/>
    <w:qFormat/>
    <w:rPr>
      <w:rFonts w:cs="Courier New"/>
    </w:rPr>
  </w:style>
  <w:style w:type="character" w:styleId="ListLabel95" w:customStyle="1">
    <w:name w:val="ListLabel 95"/>
    <w:qFormat/>
    <w:rPr>
      <w:rFonts w:cs="Wingdings"/>
    </w:rPr>
  </w:style>
  <w:style w:type="character" w:styleId="ListLabel96" w:customStyle="1">
    <w:name w:val="ListLabel 96"/>
    <w:qFormat/>
    <w:rPr>
      <w:rFonts w:cs="Symbol"/>
    </w:rPr>
  </w:style>
  <w:style w:type="character" w:styleId="ListLabel97" w:customStyle="1">
    <w:name w:val="ListLabel 97"/>
    <w:qFormat/>
    <w:rPr>
      <w:rFonts w:cs="Courier New"/>
    </w:rPr>
  </w:style>
  <w:style w:type="character" w:styleId="ListLabel98" w:customStyle="1">
    <w:name w:val="ListLabel 98"/>
    <w:qFormat/>
    <w:rPr>
      <w:rFonts w:cs="Wingdings"/>
    </w:rPr>
  </w:style>
  <w:style w:type="character" w:styleId="ListLabel99" w:customStyle="1">
    <w:name w:val="ListLabel 99"/>
    <w:qFormat/>
    <w:rPr>
      <w:rFonts w:cs="Symbol"/>
    </w:rPr>
  </w:style>
  <w:style w:type="character" w:styleId="ListLabel100" w:customStyle="1">
    <w:name w:val="ListLabel 100"/>
    <w:qFormat/>
    <w:rPr>
      <w:rFonts w:cs="Courier New"/>
    </w:rPr>
  </w:style>
  <w:style w:type="character" w:styleId="ListLabel101" w:customStyle="1">
    <w:name w:val="ListLabel 101"/>
    <w:qFormat/>
    <w:rPr>
      <w:rFonts w:cs="Wingdings"/>
    </w:rPr>
  </w:style>
  <w:style w:type="character" w:styleId="ListLabel102" w:customStyle="1">
    <w:name w:val="ListLabel 102"/>
    <w:qFormat/>
    <w:rPr>
      <w:rFonts w:ascii="Times New Roman" w:hAnsi="Times New Roman" w:cs="Times New Roman"/>
      <w:sz w:val="24"/>
      <w:szCs w:val="24"/>
    </w:rPr>
  </w:style>
  <w:style w:type="character" w:styleId="ListLabel103" w:customStyle="1">
    <w:name w:val="ListLabel 103"/>
    <w:qFormat/>
    <w:rPr>
      <w:rFonts w:ascii="Times New Roman" w:hAnsi="Times New Roman" w:cs="Wingdings"/>
      <w:b/>
      <w:sz w:val="24"/>
    </w:rPr>
  </w:style>
  <w:style w:type="character" w:styleId="ListLabel104" w:customStyle="1">
    <w:name w:val="ListLabel 104"/>
    <w:qFormat/>
    <w:rPr>
      <w:rFonts w:cs="Courier New"/>
    </w:rPr>
  </w:style>
  <w:style w:type="character" w:styleId="ListLabel105" w:customStyle="1">
    <w:name w:val="ListLabel 105"/>
    <w:qFormat/>
    <w:rPr>
      <w:rFonts w:cs="Wingdings"/>
    </w:rPr>
  </w:style>
  <w:style w:type="character" w:styleId="ListLabel106" w:customStyle="1">
    <w:name w:val="ListLabel 106"/>
    <w:qFormat/>
    <w:rPr>
      <w:rFonts w:cs="Symbol"/>
    </w:rPr>
  </w:style>
  <w:style w:type="character" w:styleId="ListLabel107" w:customStyle="1">
    <w:name w:val="ListLabel 107"/>
    <w:qFormat/>
    <w:rPr>
      <w:rFonts w:cs="Courier New"/>
    </w:rPr>
  </w:style>
  <w:style w:type="character" w:styleId="ListLabel108" w:customStyle="1">
    <w:name w:val="ListLabel 108"/>
    <w:qFormat/>
    <w:rPr>
      <w:rFonts w:cs="Wingdings"/>
    </w:rPr>
  </w:style>
  <w:style w:type="character" w:styleId="ListLabel109" w:customStyle="1">
    <w:name w:val="ListLabel 109"/>
    <w:qFormat/>
    <w:rPr>
      <w:rFonts w:cs="Symbol"/>
    </w:rPr>
  </w:style>
  <w:style w:type="character" w:styleId="ListLabel110" w:customStyle="1">
    <w:name w:val="ListLabel 110"/>
    <w:qFormat/>
    <w:rPr>
      <w:rFonts w:cs="Courier New"/>
    </w:rPr>
  </w:style>
  <w:style w:type="character" w:styleId="ListLabel111" w:customStyle="1">
    <w:name w:val="ListLabel 111"/>
    <w:qFormat/>
    <w:rPr>
      <w:rFonts w:cs="Wingdings"/>
    </w:rPr>
  </w:style>
  <w:style w:type="character" w:styleId="ListLabel112" w:customStyle="1">
    <w:name w:val="ListLabel 112"/>
    <w:qFormat/>
    <w:rPr>
      <w:rFonts w:ascii="Times New Roman" w:hAnsi="Times New Roman" w:cs="Times New Roman"/>
      <w:sz w:val="24"/>
      <w:szCs w:val="24"/>
    </w:rPr>
  </w:style>
  <w:style w:type="character" w:styleId="ListLabel113" w:customStyle="1">
    <w:name w:val="ListLabel 113"/>
    <w:qFormat/>
    <w:rPr>
      <w:rFonts w:ascii="Times New Roman" w:hAnsi="Times New Roman" w:cs="Times New Roman"/>
      <w:sz w:val="24"/>
      <w:szCs w:val="24"/>
    </w:rPr>
  </w:style>
  <w:style w:type="character" w:styleId="ListLabel114" w:customStyle="1">
    <w:name w:val="ListLabel 114"/>
    <w:qFormat/>
    <w:rPr>
      <w:rFonts w:ascii="Times New Roman" w:hAnsi="Times New Roman" w:cs="Wingdings"/>
      <w:b/>
      <w:sz w:val="24"/>
    </w:rPr>
  </w:style>
  <w:style w:type="character" w:styleId="ListLabel115" w:customStyle="1">
    <w:name w:val="ListLabel 115"/>
    <w:qFormat/>
    <w:rPr>
      <w:rFonts w:cs="Courier New"/>
    </w:rPr>
  </w:style>
  <w:style w:type="character" w:styleId="ListLabel116" w:customStyle="1">
    <w:name w:val="ListLabel 116"/>
    <w:qFormat/>
    <w:rPr>
      <w:rFonts w:cs="Wingdings"/>
    </w:rPr>
  </w:style>
  <w:style w:type="character" w:styleId="ListLabel117" w:customStyle="1">
    <w:name w:val="ListLabel 117"/>
    <w:qFormat/>
    <w:rPr>
      <w:rFonts w:cs="Symbol"/>
    </w:rPr>
  </w:style>
  <w:style w:type="character" w:styleId="ListLabel118" w:customStyle="1">
    <w:name w:val="ListLabel 118"/>
    <w:qFormat/>
    <w:rPr>
      <w:rFonts w:cs="Courier New"/>
    </w:rPr>
  </w:style>
  <w:style w:type="character" w:styleId="ListLabel119" w:customStyle="1">
    <w:name w:val="ListLabel 119"/>
    <w:qFormat/>
    <w:rPr>
      <w:rFonts w:cs="Wingdings"/>
    </w:rPr>
  </w:style>
  <w:style w:type="character" w:styleId="ListLabel120" w:customStyle="1">
    <w:name w:val="ListLabel 120"/>
    <w:qFormat/>
    <w:rPr>
      <w:rFonts w:cs="Symbol"/>
    </w:rPr>
  </w:style>
  <w:style w:type="character" w:styleId="ListLabel121" w:customStyle="1">
    <w:name w:val="ListLabel 121"/>
    <w:qFormat/>
    <w:rPr>
      <w:rFonts w:cs="Courier New"/>
    </w:rPr>
  </w:style>
  <w:style w:type="character" w:styleId="ListLabel122" w:customStyle="1">
    <w:name w:val="ListLabel 122"/>
    <w:qFormat/>
    <w:rPr>
      <w:rFonts w:cs="Wingdings"/>
    </w:rPr>
  </w:style>
  <w:style w:type="character" w:styleId="ListLabel123" w:customStyle="1">
    <w:name w:val="ListLabel 123"/>
    <w:qFormat/>
    <w:rPr>
      <w:rFonts w:ascii="Times New Roman" w:hAnsi="Times New Roman" w:cs="Times New Roman"/>
      <w:sz w:val="24"/>
      <w:szCs w:val="24"/>
    </w:rPr>
  </w:style>
  <w:style w:type="character" w:styleId="ListLabel124" w:customStyle="1">
    <w:name w:val="ListLabel 124"/>
    <w:qFormat/>
    <w:rPr>
      <w:rFonts w:ascii="Times New Roman" w:hAnsi="Times New Roman" w:cs="Wingdings"/>
      <w:b/>
      <w:sz w:val="24"/>
    </w:rPr>
  </w:style>
  <w:style w:type="character" w:styleId="ListLabel125" w:customStyle="1">
    <w:name w:val="ListLabel 125"/>
    <w:qFormat/>
    <w:rPr>
      <w:rFonts w:cs="Courier New"/>
    </w:rPr>
  </w:style>
  <w:style w:type="character" w:styleId="ListLabel126" w:customStyle="1">
    <w:name w:val="ListLabel 126"/>
    <w:qFormat/>
    <w:rPr>
      <w:rFonts w:cs="Wingdings"/>
    </w:rPr>
  </w:style>
  <w:style w:type="character" w:styleId="ListLabel127" w:customStyle="1">
    <w:name w:val="ListLabel 127"/>
    <w:qFormat/>
    <w:rPr>
      <w:rFonts w:cs="Symbol"/>
    </w:rPr>
  </w:style>
  <w:style w:type="character" w:styleId="ListLabel128" w:customStyle="1">
    <w:name w:val="ListLabel 128"/>
    <w:qFormat/>
    <w:rPr>
      <w:rFonts w:cs="Courier New"/>
    </w:rPr>
  </w:style>
  <w:style w:type="character" w:styleId="ListLabel129" w:customStyle="1">
    <w:name w:val="ListLabel 129"/>
    <w:qFormat/>
    <w:rPr>
      <w:rFonts w:cs="Wingdings"/>
    </w:rPr>
  </w:style>
  <w:style w:type="character" w:styleId="ListLabel130" w:customStyle="1">
    <w:name w:val="ListLabel 130"/>
    <w:qFormat/>
    <w:rPr>
      <w:rFonts w:cs="Symbol"/>
    </w:rPr>
  </w:style>
  <w:style w:type="character" w:styleId="ListLabel131" w:customStyle="1">
    <w:name w:val="ListLabel 131"/>
    <w:qFormat/>
    <w:rPr>
      <w:rFonts w:cs="Courier New"/>
    </w:rPr>
  </w:style>
  <w:style w:type="character" w:styleId="ListLabel132" w:customStyle="1">
    <w:name w:val="ListLabel 132"/>
    <w:qFormat/>
    <w:rPr>
      <w:rFonts w:cs="Wingdings"/>
    </w:rPr>
  </w:style>
  <w:style w:type="character" w:styleId="ListLabel133" w:customStyle="1">
    <w:name w:val="ListLabel 133"/>
    <w:qFormat/>
    <w:rPr>
      <w:rFonts w:ascii="Times New Roman" w:hAnsi="Times New Roman" w:cs="Times New Roman"/>
      <w:sz w:val="24"/>
      <w:szCs w:val="24"/>
    </w:rPr>
  </w:style>
  <w:style w:type="character" w:styleId="ListLabel134" w:customStyle="1">
    <w:name w:val="ListLabel 134"/>
    <w:qFormat/>
    <w:rPr>
      <w:rFonts w:ascii="Times New Roman" w:hAnsi="Times New Roman" w:cs="Wingdings"/>
      <w:b/>
      <w:sz w:val="24"/>
    </w:rPr>
  </w:style>
  <w:style w:type="character" w:styleId="ListLabel135" w:customStyle="1">
    <w:name w:val="ListLabel 135"/>
    <w:qFormat/>
    <w:rPr>
      <w:rFonts w:cs="Courier New"/>
    </w:rPr>
  </w:style>
  <w:style w:type="character" w:styleId="ListLabel136" w:customStyle="1">
    <w:name w:val="ListLabel 136"/>
    <w:qFormat/>
    <w:rPr>
      <w:rFonts w:cs="Wingdings"/>
    </w:rPr>
  </w:style>
  <w:style w:type="character" w:styleId="ListLabel137" w:customStyle="1">
    <w:name w:val="ListLabel 137"/>
    <w:qFormat/>
    <w:rPr>
      <w:rFonts w:cs="Symbol"/>
    </w:rPr>
  </w:style>
  <w:style w:type="character" w:styleId="ListLabel138" w:customStyle="1">
    <w:name w:val="ListLabel 138"/>
    <w:qFormat/>
    <w:rPr>
      <w:rFonts w:cs="Courier New"/>
    </w:rPr>
  </w:style>
  <w:style w:type="character" w:styleId="ListLabel139" w:customStyle="1">
    <w:name w:val="ListLabel 139"/>
    <w:qFormat/>
    <w:rPr>
      <w:rFonts w:cs="Wingdings"/>
    </w:rPr>
  </w:style>
  <w:style w:type="character" w:styleId="ListLabel140" w:customStyle="1">
    <w:name w:val="ListLabel 140"/>
    <w:qFormat/>
    <w:rPr>
      <w:rFonts w:cs="Symbol"/>
    </w:rPr>
  </w:style>
  <w:style w:type="character" w:styleId="ListLabel141" w:customStyle="1">
    <w:name w:val="ListLabel 141"/>
    <w:qFormat/>
    <w:rPr>
      <w:rFonts w:cs="Courier New"/>
    </w:rPr>
  </w:style>
  <w:style w:type="character" w:styleId="ListLabel142" w:customStyle="1">
    <w:name w:val="ListLabel 142"/>
    <w:qFormat/>
    <w:rPr>
      <w:rFonts w:cs="Wingdings"/>
    </w:rPr>
  </w:style>
  <w:style w:type="character" w:styleId="ListLabel143" w:customStyle="1">
    <w:name w:val="ListLabel 143"/>
    <w:qFormat/>
    <w:rPr>
      <w:rFonts w:ascii="Times New Roman" w:hAnsi="Times New Roman" w:cs="Times New Roman"/>
      <w:sz w:val="24"/>
      <w:szCs w:val="24"/>
    </w:rPr>
  </w:style>
  <w:style w:type="character" w:styleId="ListLabel144" w:customStyle="1">
    <w:name w:val="ListLabel 144"/>
    <w:qFormat/>
    <w:rPr>
      <w:rFonts w:ascii="Times New Roman" w:hAnsi="Times New Roman" w:cs="Wingdings"/>
      <w:b/>
      <w:sz w:val="24"/>
    </w:rPr>
  </w:style>
  <w:style w:type="character" w:styleId="ListLabel145" w:customStyle="1">
    <w:name w:val="ListLabel 145"/>
    <w:qFormat/>
    <w:rPr>
      <w:rFonts w:cs="Courier New"/>
    </w:rPr>
  </w:style>
  <w:style w:type="character" w:styleId="ListLabel146" w:customStyle="1">
    <w:name w:val="ListLabel 146"/>
    <w:qFormat/>
    <w:rPr>
      <w:rFonts w:cs="Wingdings"/>
    </w:rPr>
  </w:style>
  <w:style w:type="character" w:styleId="ListLabel147" w:customStyle="1">
    <w:name w:val="ListLabel 147"/>
    <w:qFormat/>
    <w:rPr>
      <w:rFonts w:cs="Symbol"/>
    </w:rPr>
  </w:style>
  <w:style w:type="character" w:styleId="ListLabel148" w:customStyle="1">
    <w:name w:val="ListLabel 148"/>
    <w:qFormat/>
    <w:rPr>
      <w:rFonts w:cs="Courier New"/>
    </w:rPr>
  </w:style>
  <w:style w:type="character" w:styleId="ListLabel149" w:customStyle="1">
    <w:name w:val="ListLabel 149"/>
    <w:qFormat/>
    <w:rPr>
      <w:rFonts w:cs="Wingdings"/>
    </w:rPr>
  </w:style>
  <w:style w:type="character" w:styleId="ListLabel150" w:customStyle="1">
    <w:name w:val="ListLabel 150"/>
    <w:qFormat/>
    <w:rPr>
      <w:rFonts w:cs="Symbol"/>
    </w:rPr>
  </w:style>
  <w:style w:type="character" w:styleId="ListLabel151" w:customStyle="1">
    <w:name w:val="ListLabel 151"/>
    <w:qFormat/>
    <w:rPr>
      <w:rFonts w:cs="Courier New"/>
    </w:rPr>
  </w:style>
  <w:style w:type="character" w:styleId="ListLabel152" w:customStyle="1">
    <w:name w:val="ListLabel 152"/>
    <w:qFormat/>
    <w:rPr>
      <w:rFonts w:cs="Wingdings"/>
    </w:rPr>
  </w:style>
  <w:style w:type="character" w:styleId="ListLabel153" w:customStyle="1">
    <w:name w:val="ListLabel 153"/>
    <w:qFormat/>
    <w:rPr>
      <w:rFonts w:ascii="Times New Roman" w:hAnsi="Times New Roman" w:cs="Times New Roman"/>
      <w:sz w:val="24"/>
      <w:szCs w:val="24"/>
    </w:rPr>
  </w:style>
  <w:style w:type="character" w:styleId="ListLabel154" w:customStyle="1">
    <w:name w:val="ListLabel 154"/>
    <w:qFormat/>
    <w:rPr>
      <w:rFonts w:cs="Wingdings"/>
      <w:b/>
      <w:sz w:val="24"/>
    </w:rPr>
  </w:style>
  <w:style w:type="character" w:styleId="ListLabel155" w:customStyle="1">
    <w:name w:val="ListLabel 155"/>
    <w:qFormat/>
    <w:rPr>
      <w:rFonts w:cs="Courier New"/>
    </w:rPr>
  </w:style>
  <w:style w:type="character" w:styleId="ListLabel156" w:customStyle="1">
    <w:name w:val="ListLabel 156"/>
    <w:qFormat/>
    <w:rPr>
      <w:rFonts w:cs="Wingdings"/>
    </w:rPr>
  </w:style>
  <w:style w:type="character" w:styleId="ListLabel157" w:customStyle="1">
    <w:name w:val="ListLabel 157"/>
    <w:qFormat/>
    <w:rPr>
      <w:rFonts w:cs="Symbol"/>
    </w:rPr>
  </w:style>
  <w:style w:type="character" w:styleId="ListLabel158" w:customStyle="1">
    <w:name w:val="ListLabel 158"/>
    <w:qFormat/>
    <w:rPr>
      <w:rFonts w:cs="Courier New"/>
    </w:rPr>
  </w:style>
  <w:style w:type="character" w:styleId="ListLabel159" w:customStyle="1">
    <w:name w:val="ListLabel 159"/>
    <w:qFormat/>
    <w:rPr>
      <w:rFonts w:cs="Wingdings"/>
    </w:rPr>
  </w:style>
  <w:style w:type="character" w:styleId="ListLabel160" w:customStyle="1">
    <w:name w:val="ListLabel 160"/>
    <w:qFormat/>
    <w:rPr>
      <w:rFonts w:cs="Symbol"/>
    </w:rPr>
  </w:style>
  <w:style w:type="character" w:styleId="ListLabel161" w:customStyle="1">
    <w:name w:val="ListLabel 161"/>
    <w:qFormat/>
    <w:rPr>
      <w:rFonts w:cs="Courier New"/>
    </w:rPr>
  </w:style>
  <w:style w:type="character" w:styleId="ListLabel162" w:customStyle="1">
    <w:name w:val="ListLabel 162"/>
    <w:qFormat/>
    <w:rPr>
      <w:rFonts w:cs="Wingdings"/>
    </w:rPr>
  </w:style>
  <w:style w:type="character" w:styleId="ListLabel163" w:customStyle="1">
    <w:name w:val="ListLabel 163"/>
    <w:qFormat/>
    <w:rPr>
      <w:rFonts w:cs="Wingdings"/>
      <w:b/>
      <w:sz w:val="24"/>
    </w:rPr>
  </w:style>
  <w:style w:type="character" w:styleId="ListLabel164" w:customStyle="1">
    <w:name w:val="ListLabel 164"/>
    <w:qFormat/>
    <w:rPr>
      <w:rFonts w:cs="Courier New"/>
    </w:rPr>
  </w:style>
  <w:style w:type="character" w:styleId="ListLabel165" w:customStyle="1">
    <w:name w:val="ListLabel 165"/>
    <w:qFormat/>
    <w:rPr>
      <w:rFonts w:cs="Wingdings"/>
    </w:rPr>
  </w:style>
  <w:style w:type="character" w:styleId="ListLabel166" w:customStyle="1">
    <w:name w:val="ListLabel 166"/>
    <w:qFormat/>
    <w:rPr>
      <w:rFonts w:cs="Symbol"/>
    </w:rPr>
  </w:style>
  <w:style w:type="character" w:styleId="ListLabel167" w:customStyle="1">
    <w:name w:val="ListLabel 167"/>
    <w:qFormat/>
    <w:rPr>
      <w:rFonts w:cs="Courier New"/>
    </w:rPr>
  </w:style>
  <w:style w:type="character" w:styleId="ListLabel168" w:customStyle="1">
    <w:name w:val="ListLabel 168"/>
    <w:qFormat/>
    <w:rPr>
      <w:rFonts w:cs="Wingdings"/>
    </w:rPr>
  </w:style>
  <w:style w:type="character" w:styleId="ListLabel169" w:customStyle="1">
    <w:name w:val="ListLabel 169"/>
    <w:qFormat/>
    <w:rPr>
      <w:rFonts w:cs="Symbol"/>
    </w:rPr>
  </w:style>
  <w:style w:type="character" w:styleId="ListLabel170" w:customStyle="1">
    <w:name w:val="ListLabel 170"/>
    <w:qFormat/>
    <w:rPr>
      <w:rFonts w:cs="Courier New"/>
    </w:rPr>
  </w:style>
  <w:style w:type="character" w:styleId="ListLabel171" w:customStyle="1">
    <w:name w:val="ListLabel 171"/>
    <w:qFormat/>
    <w:rPr>
      <w:rFonts w:cs="Wingdings"/>
    </w:rPr>
  </w:style>
  <w:style w:type="character" w:styleId="ListLabel172" w:customStyle="1">
    <w:name w:val="ListLabel 172"/>
    <w:qFormat/>
    <w:rPr>
      <w:rFonts w:cs="Wingdings"/>
      <w:b/>
      <w:sz w:val="24"/>
    </w:rPr>
  </w:style>
  <w:style w:type="character" w:styleId="ListLabel173" w:customStyle="1">
    <w:name w:val="ListLabel 173"/>
    <w:qFormat/>
    <w:rPr>
      <w:rFonts w:cs="Courier New"/>
    </w:rPr>
  </w:style>
  <w:style w:type="character" w:styleId="ListLabel174" w:customStyle="1">
    <w:name w:val="ListLabel 174"/>
    <w:qFormat/>
    <w:rPr>
      <w:rFonts w:cs="Wingdings"/>
    </w:rPr>
  </w:style>
  <w:style w:type="character" w:styleId="ListLabel175" w:customStyle="1">
    <w:name w:val="ListLabel 175"/>
    <w:qFormat/>
    <w:rPr>
      <w:rFonts w:cs="Symbol"/>
    </w:rPr>
  </w:style>
  <w:style w:type="character" w:styleId="ListLabel176" w:customStyle="1">
    <w:name w:val="ListLabel 176"/>
    <w:qFormat/>
    <w:rPr>
      <w:rFonts w:cs="Courier New"/>
    </w:rPr>
  </w:style>
  <w:style w:type="character" w:styleId="ListLabel177" w:customStyle="1">
    <w:name w:val="ListLabel 177"/>
    <w:qFormat/>
    <w:rPr>
      <w:rFonts w:cs="Wingdings"/>
    </w:rPr>
  </w:style>
  <w:style w:type="character" w:styleId="ListLabel178" w:customStyle="1">
    <w:name w:val="ListLabel 178"/>
    <w:qFormat/>
    <w:rPr>
      <w:rFonts w:cs="Symbol"/>
    </w:rPr>
  </w:style>
  <w:style w:type="character" w:styleId="ListLabel179" w:customStyle="1">
    <w:name w:val="ListLabel 179"/>
    <w:qFormat/>
    <w:rPr>
      <w:rFonts w:cs="Courier New"/>
    </w:rPr>
  </w:style>
  <w:style w:type="character" w:styleId="ListLabel180" w:customStyle="1">
    <w:name w:val="ListLabel 180"/>
    <w:qFormat/>
    <w:rPr>
      <w:rFonts w:cs="Wingdings"/>
    </w:rPr>
  </w:style>
  <w:style w:type="character" w:styleId="ListLabel181" w:customStyle="1">
    <w:name w:val="ListLabel 181"/>
    <w:qFormat/>
    <w:rPr>
      <w:rFonts w:cs="Wingdings"/>
      <w:b/>
      <w:sz w:val="24"/>
    </w:rPr>
  </w:style>
  <w:style w:type="character" w:styleId="ListLabel182" w:customStyle="1">
    <w:name w:val="ListLabel 182"/>
    <w:qFormat/>
    <w:rPr>
      <w:rFonts w:cs="Courier New"/>
    </w:rPr>
  </w:style>
  <w:style w:type="character" w:styleId="ListLabel183" w:customStyle="1">
    <w:name w:val="ListLabel 183"/>
    <w:qFormat/>
    <w:rPr>
      <w:rFonts w:cs="Wingdings"/>
    </w:rPr>
  </w:style>
  <w:style w:type="character" w:styleId="ListLabel184" w:customStyle="1">
    <w:name w:val="ListLabel 184"/>
    <w:qFormat/>
    <w:rPr>
      <w:rFonts w:cs="Symbol"/>
    </w:rPr>
  </w:style>
  <w:style w:type="character" w:styleId="ListLabel185" w:customStyle="1">
    <w:name w:val="ListLabel 185"/>
    <w:qFormat/>
    <w:rPr>
      <w:rFonts w:cs="Courier New"/>
    </w:rPr>
  </w:style>
  <w:style w:type="character" w:styleId="ListLabel186" w:customStyle="1">
    <w:name w:val="ListLabel 186"/>
    <w:qFormat/>
    <w:rPr>
      <w:rFonts w:cs="Wingdings"/>
    </w:rPr>
  </w:style>
  <w:style w:type="character" w:styleId="ListLabel187" w:customStyle="1">
    <w:name w:val="ListLabel 187"/>
    <w:qFormat/>
    <w:rPr>
      <w:rFonts w:cs="Symbol"/>
    </w:rPr>
  </w:style>
  <w:style w:type="character" w:styleId="ListLabel188" w:customStyle="1">
    <w:name w:val="ListLabel 188"/>
    <w:qFormat/>
    <w:rPr>
      <w:rFonts w:cs="Courier New"/>
    </w:rPr>
  </w:style>
  <w:style w:type="character" w:styleId="ListLabel189" w:customStyle="1">
    <w:name w:val="ListLabel 189"/>
    <w:qFormat/>
    <w:rPr>
      <w:rFonts w:cs="Wingdings"/>
    </w:rPr>
  </w:style>
  <w:style w:type="character" w:styleId="ListLabel190" w:customStyle="1">
    <w:name w:val="ListLabel 190"/>
    <w:qFormat/>
    <w:rPr>
      <w:rFonts w:cs="Wingdings"/>
      <w:b/>
      <w:sz w:val="24"/>
    </w:rPr>
  </w:style>
  <w:style w:type="character" w:styleId="ListLabel191" w:customStyle="1">
    <w:name w:val="ListLabel 191"/>
    <w:qFormat/>
    <w:rPr>
      <w:rFonts w:cs="Courier New"/>
    </w:rPr>
  </w:style>
  <w:style w:type="character" w:styleId="ListLabel192" w:customStyle="1">
    <w:name w:val="ListLabel 192"/>
    <w:qFormat/>
    <w:rPr>
      <w:rFonts w:cs="Wingdings"/>
    </w:rPr>
  </w:style>
  <w:style w:type="character" w:styleId="ListLabel193" w:customStyle="1">
    <w:name w:val="ListLabel 193"/>
    <w:qFormat/>
    <w:rPr>
      <w:rFonts w:cs="Symbol"/>
    </w:rPr>
  </w:style>
  <w:style w:type="character" w:styleId="ListLabel194" w:customStyle="1">
    <w:name w:val="ListLabel 194"/>
    <w:qFormat/>
    <w:rPr>
      <w:rFonts w:cs="Courier New"/>
    </w:rPr>
  </w:style>
  <w:style w:type="character" w:styleId="ListLabel195" w:customStyle="1">
    <w:name w:val="ListLabel 195"/>
    <w:qFormat/>
    <w:rPr>
      <w:rFonts w:cs="Wingdings"/>
    </w:rPr>
  </w:style>
  <w:style w:type="character" w:styleId="ListLabel196" w:customStyle="1">
    <w:name w:val="ListLabel 196"/>
    <w:qFormat/>
    <w:rPr>
      <w:rFonts w:cs="Symbol"/>
    </w:rPr>
  </w:style>
  <w:style w:type="character" w:styleId="ListLabel197" w:customStyle="1">
    <w:name w:val="ListLabel 197"/>
    <w:qFormat/>
    <w:rPr>
      <w:rFonts w:cs="Courier New"/>
    </w:rPr>
  </w:style>
  <w:style w:type="character" w:styleId="ListLabel198" w:customStyle="1">
    <w:name w:val="ListLabel 198"/>
    <w:qFormat/>
    <w:rPr>
      <w:rFonts w:cs="Wingdings"/>
    </w:rPr>
  </w:style>
  <w:style w:type="character" w:styleId="ListLabel199" w:customStyle="1">
    <w:name w:val="ListLabel 199"/>
    <w:qFormat/>
    <w:rPr>
      <w:rFonts w:cs="Wingdings"/>
      <w:b/>
      <w:sz w:val="24"/>
    </w:rPr>
  </w:style>
  <w:style w:type="character" w:styleId="ListLabel200" w:customStyle="1">
    <w:name w:val="ListLabel 200"/>
    <w:qFormat/>
    <w:rPr>
      <w:rFonts w:cs="Courier New"/>
    </w:rPr>
  </w:style>
  <w:style w:type="character" w:styleId="ListLabel201" w:customStyle="1">
    <w:name w:val="ListLabel 201"/>
    <w:qFormat/>
    <w:rPr>
      <w:rFonts w:cs="Wingdings"/>
    </w:rPr>
  </w:style>
  <w:style w:type="character" w:styleId="ListLabel202" w:customStyle="1">
    <w:name w:val="ListLabel 202"/>
    <w:qFormat/>
    <w:rPr>
      <w:rFonts w:cs="Symbol"/>
    </w:rPr>
  </w:style>
  <w:style w:type="character" w:styleId="ListLabel203" w:customStyle="1">
    <w:name w:val="ListLabel 203"/>
    <w:qFormat/>
    <w:rPr>
      <w:rFonts w:cs="Courier New"/>
    </w:rPr>
  </w:style>
  <w:style w:type="character" w:styleId="ListLabel204" w:customStyle="1">
    <w:name w:val="ListLabel 204"/>
    <w:qFormat/>
    <w:rPr>
      <w:rFonts w:cs="Wingdings"/>
    </w:rPr>
  </w:style>
  <w:style w:type="character" w:styleId="ListLabel205" w:customStyle="1">
    <w:name w:val="ListLabel 205"/>
    <w:qFormat/>
    <w:rPr>
      <w:rFonts w:cs="Symbol"/>
    </w:rPr>
  </w:style>
  <w:style w:type="character" w:styleId="ListLabel206" w:customStyle="1">
    <w:name w:val="ListLabel 206"/>
    <w:qFormat/>
    <w:rPr>
      <w:rFonts w:cs="Courier New"/>
    </w:rPr>
  </w:style>
  <w:style w:type="character" w:styleId="ListLabel207" w:customStyle="1">
    <w:name w:val="ListLabel 207"/>
    <w:qFormat/>
    <w:rPr>
      <w:rFonts w:cs="Wingdings"/>
    </w:rPr>
  </w:style>
  <w:style w:type="character" w:styleId="ListLabel208" w:customStyle="1">
    <w:name w:val="ListLabel 208"/>
    <w:qFormat/>
    <w:rPr>
      <w:rFonts w:cs="Wingdings"/>
      <w:b/>
      <w:sz w:val="24"/>
    </w:rPr>
  </w:style>
  <w:style w:type="character" w:styleId="ListLabel209" w:customStyle="1">
    <w:name w:val="ListLabel 209"/>
    <w:qFormat/>
    <w:rPr>
      <w:rFonts w:cs="Courier New"/>
    </w:rPr>
  </w:style>
  <w:style w:type="character" w:styleId="ListLabel210" w:customStyle="1">
    <w:name w:val="ListLabel 210"/>
    <w:qFormat/>
    <w:rPr>
      <w:rFonts w:cs="Wingdings"/>
    </w:rPr>
  </w:style>
  <w:style w:type="character" w:styleId="ListLabel211" w:customStyle="1">
    <w:name w:val="ListLabel 211"/>
    <w:qFormat/>
    <w:rPr>
      <w:rFonts w:cs="Symbol"/>
    </w:rPr>
  </w:style>
  <w:style w:type="character" w:styleId="ListLabel212" w:customStyle="1">
    <w:name w:val="ListLabel 212"/>
    <w:qFormat/>
    <w:rPr>
      <w:rFonts w:cs="Courier New"/>
    </w:rPr>
  </w:style>
  <w:style w:type="character" w:styleId="ListLabel213" w:customStyle="1">
    <w:name w:val="ListLabel 213"/>
    <w:qFormat/>
    <w:rPr>
      <w:rFonts w:cs="Wingdings"/>
    </w:rPr>
  </w:style>
  <w:style w:type="character" w:styleId="ListLabel214" w:customStyle="1">
    <w:name w:val="ListLabel 214"/>
    <w:qFormat/>
    <w:rPr>
      <w:rFonts w:cs="Symbol"/>
    </w:rPr>
  </w:style>
  <w:style w:type="character" w:styleId="ListLabel215" w:customStyle="1">
    <w:name w:val="ListLabel 215"/>
    <w:qFormat/>
    <w:rPr>
      <w:rFonts w:cs="Courier New"/>
    </w:rPr>
  </w:style>
  <w:style w:type="character" w:styleId="ListLabel216" w:customStyle="1">
    <w:name w:val="ListLabel 216"/>
    <w:qFormat/>
    <w:rPr>
      <w:rFonts w:cs="Wingdings"/>
    </w:rPr>
  </w:style>
  <w:style w:type="character" w:styleId="ListLabel217" w:customStyle="1">
    <w:name w:val="ListLabel 217"/>
    <w:qFormat/>
    <w:rPr>
      <w:rFonts w:cs="Wingdings"/>
      <w:b/>
      <w:sz w:val="24"/>
    </w:rPr>
  </w:style>
  <w:style w:type="character" w:styleId="ListLabel218" w:customStyle="1">
    <w:name w:val="ListLabel 218"/>
    <w:qFormat/>
    <w:rPr>
      <w:rFonts w:cs="Courier New"/>
    </w:rPr>
  </w:style>
  <w:style w:type="character" w:styleId="ListLabel219" w:customStyle="1">
    <w:name w:val="ListLabel 219"/>
    <w:qFormat/>
    <w:rPr>
      <w:rFonts w:cs="Wingdings"/>
    </w:rPr>
  </w:style>
  <w:style w:type="character" w:styleId="ListLabel220" w:customStyle="1">
    <w:name w:val="ListLabel 220"/>
    <w:qFormat/>
    <w:rPr>
      <w:rFonts w:cs="Symbol"/>
    </w:rPr>
  </w:style>
  <w:style w:type="character" w:styleId="ListLabel221" w:customStyle="1">
    <w:name w:val="ListLabel 221"/>
    <w:qFormat/>
    <w:rPr>
      <w:rFonts w:cs="Courier New"/>
    </w:rPr>
  </w:style>
  <w:style w:type="character" w:styleId="ListLabel222" w:customStyle="1">
    <w:name w:val="ListLabel 222"/>
    <w:qFormat/>
    <w:rPr>
      <w:rFonts w:cs="Wingdings"/>
    </w:rPr>
  </w:style>
  <w:style w:type="character" w:styleId="ListLabel223" w:customStyle="1">
    <w:name w:val="ListLabel 223"/>
    <w:qFormat/>
    <w:rPr>
      <w:rFonts w:cs="Symbol"/>
    </w:rPr>
  </w:style>
  <w:style w:type="character" w:styleId="ListLabel224" w:customStyle="1">
    <w:name w:val="ListLabel 224"/>
    <w:qFormat/>
    <w:rPr>
      <w:rFonts w:cs="Courier New"/>
    </w:rPr>
  </w:style>
  <w:style w:type="character" w:styleId="ListLabel225" w:customStyle="1">
    <w:name w:val="ListLabel 225"/>
    <w:qFormat/>
    <w:rPr>
      <w:rFonts w:cs="Wingding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qFormat/>
    <w:rsid w:val="00725B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99"/>
    <w:qFormat/>
    <w:rsid w:val="00952CFF"/>
    <w:pPr>
      <w:ind w:left="720"/>
      <w:contextualSpacing/>
    </w:pPr>
  </w:style>
  <w:style w:type="paragraph" w:styleId="Textodenotadefim">
    <w:name w:val="endnote text"/>
    <w:basedOn w:val="Normal"/>
    <w:link w:val="TextodenotadefimChar"/>
    <w:uiPriority w:val="99"/>
    <w:semiHidden/>
    <w:rsid w:val="00CF2F2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PORTFÓLIO DE AÇÕES E ATIVIDADES – LINHA DO TEMPO</dc:title>
  <dc:subject/>
  <dc:creator>Nazareno Messbeway</dc:creator>
  <dc:description/>
  <lastModifiedBy>Luiz Felipe</lastModifiedBy>
  <revision>5</revision>
  <lastPrinted>2018-07-27T15:44:00.0000000Z</lastPrinted>
  <dcterms:created xsi:type="dcterms:W3CDTF">2025-09-29T12:06:00.0000000Z</dcterms:created>
  <dcterms:modified xsi:type="dcterms:W3CDTF">2025-12-05T17:04:35.0964940Z</dcterms:modified>
  <dc:language>pt-BR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